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4DD883" w14:textId="77777777" w:rsidR="00D015C7" w:rsidRPr="00FF7704" w:rsidRDefault="00D015C7">
      <w:pPr>
        <w:pStyle w:val="chaphead"/>
      </w:pPr>
      <w:r w:rsidRPr="00FF7704">
        <w:rPr>
          <w:b w:val="0"/>
        </w:rPr>
        <w:t>Section 21</w:t>
      </w:r>
      <w:r w:rsidRPr="00FF7704">
        <w:rPr>
          <w:b w:val="0"/>
        </w:rPr>
        <w:br/>
      </w:r>
      <w:r w:rsidRPr="00FF7704">
        <w:t>Alternative Exchange</w:t>
      </w:r>
      <w:r w:rsidRPr="00FF7704">
        <w:rPr>
          <w:rStyle w:val="FootnoteReference"/>
          <w:vertAlign w:val="baseline"/>
        </w:rPr>
        <w:footnoteReference w:customMarkFollows="1" w:id="1"/>
        <w:t> </w:t>
      </w:r>
    </w:p>
    <w:p w14:paraId="4577CE1D" w14:textId="77777777" w:rsidR="00D015C7" w:rsidRPr="00FF7704" w:rsidRDefault="00D015C7">
      <w:pPr>
        <w:pStyle w:val="NormalText0"/>
        <w:spacing w:before="240"/>
        <w:rPr>
          <w:b/>
        </w:rPr>
      </w:pPr>
      <w:r w:rsidRPr="00FF7704">
        <w:rPr>
          <w:b/>
        </w:rPr>
        <w:t>Scope of section</w:t>
      </w:r>
    </w:p>
    <w:p w14:paraId="202B150A" w14:textId="7B8F2206" w:rsidR="00D015C7" w:rsidRPr="00FF7704" w:rsidRDefault="00D015C7">
      <w:pPr>
        <w:pStyle w:val="parafullout"/>
      </w:pPr>
      <w:r w:rsidRPr="00FF7704">
        <w:t xml:space="preserve">This section contains the </w:t>
      </w:r>
      <w:r w:rsidR="00772DE1">
        <w:t>provisions</w:t>
      </w:r>
      <w:r w:rsidR="00CD400C">
        <w:t xml:space="preserve"> for</w:t>
      </w:r>
      <w:r w:rsidRPr="00FF7704">
        <w:t xml:space="preserve"> a listing on</w:t>
      </w:r>
      <w:r w:rsidR="00A3487D">
        <w:t xml:space="preserve"> </w:t>
      </w:r>
      <w:r w:rsidRPr="00FF7704">
        <w:t>ALT</w:t>
      </w:r>
      <w:r w:rsidRPr="00FF7704">
        <w:rPr>
          <w:vertAlign w:val="superscript"/>
        </w:rPr>
        <w:t>X</w:t>
      </w:r>
      <w:r w:rsidR="00A3487D">
        <w:t>.</w:t>
      </w:r>
    </w:p>
    <w:p w14:paraId="63EDACB7" w14:textId="5D585EF7" w:rsidR="00A25206" w:rsidRDefault="005B3DE8">
      <w:pPr>
        <w:pStyle w:val="head2"/>
      </w:pPr>
      <w:r>
        <w:t>General</w:t>
      </w:r>
    </w:p>
    <w:p w14:paraId="6DA272B5" w14:textId="5BC29C6F" w:rsidR="005B3DE8" w:rsidRPr="00FF7704" w:rsidRDefault="005B3DE8" w:rsidP="005B3DE8">
      <w:pPr>
        <w:pStyle w:val="000"/>
      </w:pPr>
      <w:r>
        <w:t>21.</w:t>
      </w:r>
      <w:r w:rsidR="00FF180C">
        <w:t>1</w:t>
      </w:r>
      <w:r>
        <w:tab/>
        <w:t>Applicants</w:t>
      </w:r>
      <w:r w:rsidR="00347577">
        <w:t xml:space="preserve"> issuers must comply with the</w:t>
      </w:r>
      <w:r w:rsidRPr="00FF7704">
        <w:t xml:space="preserve"> Requirements</w:t>
      </w:r>
      <w:r w:rsidR="00347577">
        <w:t xml:space="preserve"> in all respects</w:t>
      </w:r>
      <w:r w:rsidRPr="00FF7704">
        <w:t xml:space="preserve">, unless otherwise </w:t>
      </w:r>
      <w:r w:rsidR="00347577">
        <w:t>stated</w:t>
      </w:r>
      <w:r w:rsidRPr="00FF7704">
        <w:t xml:space="preserve"> in this section.</w:t>
      </w:r>
    </w:p>
    <w:p w14:paraId="674915FA" w14:textId="769ED196" w:rsidR="00D015C7" w:rsidRPr="00FF7704" w:rsidRDefault="00D015C7">
      <w:pPr>
        <w:pStyle w:val="a-0000"/>
      </w:pPr>
      <w:r w:rsidRPr="00FF7704">
        <w:t>21.</w:t>
      </w:r>
      <w:r w:rsidR="00FF180C">
        <w:t>2</w:t>
      </w:r>
      <w:r w:rsidRPr="00FF7704">
        <w:tab/>
        <w:t>(a)</w:t>
      </w:r>
      <w:r w:rsidRPr="00FF7704">
        <w:tab/>
        <w:t>ALT</w:t>
      </w:r>
      <w:r w:rsidRPr="00FF7704">
        <w:rPr>
          <w:vertAlign w:val="superscript"/>
        </w:rPr>
        <w:t>X</w:t>
      </w:r>
      <w:r w:rsidRPr="00FF7704">
        <w:t xml:space="preserve"> is a market for small to medium companies that are in a growth phase and applicants that meet the criteria for listing on the </w:t>
      </w:r>
      <w:r w:rsidR="00652AB9">
        <w:t>m</w:t>
      </w:r>
      <w:r w:rsidRPr="00FF7704">
        <w:t xml:space="preserve">ain </w:t>
      </w:r>
      <w:r w:rsidR="00652AB9">
        <w:t>b</w:t>
      </w:r>
      <w:r w:rsidRPr="00FF7704">
        <w:t>oard or any other sector will not ordinarily be granted a listing on ALT</w:t>
      </w:r>
      <w:r w:rsidRPr="00FF7704">
        <w:rPr>
          <w:vertAlign w:val="superscript"/>
        </w:rPr>
        <w:t>X</w:t>
      </w:r>
      <w:r w:rsidRPr="00FF7704">
        <w:t xml:space="preserve"> and the JSE reserves the right to request such applicants to route their applications to those other sectors; and</w:t>
      </w:r>
    </w:p>
    <w:p w14:paraId="79DD13C0" w14:textId="00836D1C" w:rsidR="00D015C7" w:rsidRPr="00FF7704" w:rsidRDefault="00D015C7">
      <w:pPr>
        <w:pStyle w:val="a-0000"/>
      </w:pPr>
      <w:r w:rsidRPr="00FF7704">
        <w:tab/>
        <w:t>(b)</w:t>
      </w:r>
      <w:r w:rsidRPr="00FF7704">
        <w:tab/>
        <w:t xml:space="preserve">when </w:t>
      </w:r>
      <w:r w:rsidR="002B49DD">
        <w:t xml:space="preserve">an </w:t>
      </w:r>
      <w:r w:rsidRPr="00FF7704">
        <w:t>ALT</w:t>
      </w:r>
      <w:r w:rsidRPr="00FF7704">
        <w:rPr>
          <w:vertAlign w:val="superscript"/>
        </w:rPr>
        <w:t>X</w:t>
      </w:r>
      <w:r w:rsidRPr="00FF7704">
        <w:t xml:space="preserve"> </w:t>
      </w:r>
      <w:r w:rsidR="002B49DD">
        <w:t>issuer</w:t>
      </w:r>
      <w:r w:rsidR="00B43A91">
        <w:t xml:space="preserve"> complies</w:t>
      </w:r>
      <w:r w:rsidRPr="00FF7704">
        <w:t xml:space="preserve"> with the criteria</w:t>
      </w:r>
      <w:r w:rsidR="002B49DD">
        <w:t xml:space="preserve"> for listing</w:t>
      </w:r>
      <w:r w:rsidR="00E95180">
        <w:t xml:space="preserve"> on the main board</w:t>
      </w:r>
      <w:r w:rsidRPr="00FF7704">
        <w:t>, the JSE may transfer</w:t>
      </w:r>
      <w:r w:rsidR="00E95180">
        <w:t xml:space="preserve"> the</w:t>
      </w:r>
      <w:r w:rsidRPr="00FF7704">
        <w:t xml:space="preserve"> listing to the </w:t>
      </w:r>
      <w:r w:rsidR="00E95180">
        <w:t>m</w:t>
      </w:r>
      <w:r w:rsidRPr="00FF7704">
        <w:t xml:space="preserve">ain </w:t>
      </w:r>
      <w:proofErr w:type="gramStart"/>
      <w:r w:rsidR="00E95180">
        <w:t>b</w:t>
      </w:r>
      <w:r w:rsidRPr="00FF7704">
        <w:t>oard</w:t>
      </w:r>
      <w:proofErr w:type="gramEnd"/>
      <w:r w:rsidR="00DD66AE">
        <w:t xml:space="preserve"> or the issuer </w:t>
      </w:r>
      <w:r w:rsidR="005B657A">
        <w:t>c</w:t>
      </w:r>
      <w:r w:rsidR="00DD66AE">
        <w:t xml:space="preserve">an make application for </w:t>
      </w:r>
      <w:r w:rsidR="005B657A">
        <w:t>transfer</w:t>
      </w:r>
      <w:r w:rsidRPr="00FF7704">
        <w:t>.</w:t>
      </w:r>
      <w:r w:rsidRPr="00FF7704">
        <w:rPr>
          <w:rStyle w:val="FootnoteReference"/>
          <w:vertAlign w:val="baseline"/>
        </w:rPr>
        <w:footnoteReference w:customMarkFollows="1" w:id="2"/>
        <w:t> </w:t>
      </w:r>
    </w:p>
    <w:p w14:paraId="314B9739" w14:textId="5FA3444B" w:rsidR="00D015C7" w:rsidRPr="00FF7704" w:rsidRDefault="00D015C7" w:rsidP="002D349F">
      <w:pPr>
        <w:pStyle w:val="000"/>
      </w:pPr>
      <w:r w:rsidRPr="00FF7704">
        <w:t>21.</w:t>
      </w:r>
      <w:r w:rsidR="00FF180C">
        <w:t>3</w:t>
      </w:r>
      <w:r w:rsidRPr="00FF7704">
        <w:tab/>
      </w:r>
      <w:r w:rsidR="00154FE5">
        <w:t>The following applies</w:t>
      </w:r>
      <w:r w:rsidR="000C3D51">
        <w:t xml:space="preserve"> to the applicant: </w:t>
      </w:r>
    </w:p>
    <w:p w14:paraId="1AB5CB75" w14:textId="5DCCD78B" w:rsidR="00D015C7" w:rsidRPr="00FF7704" w:rsidRDefault="00D015C7" w:rsidP="00A84194">
      <w:pPr>
        <w:pStyle w:val="a-0000"/>
      </w:pPr>
      <w:r w:rsidRPr="00FF7704">
        <w:tab/>
        <w:t>(a)</w:t>
      </w:r>
      <w:r w:rsidRPr="00FF7704">
        <w:tab/>
      </w:r>
      <w:r w:rsidR="000C3D51">
        <w:t xml:space="preserve">it </w:t>
      </w:r>
      <w:r w:rsidRPr="00FF7704">
        <w:t xml:space="preserve">must appoint a </w:t>
      </w:r>
      <w:proofErr w:type="gramStart"/>
      <w:r w:rsidRPr="00FF7704">
        <w:t>DA</w:t>
      </w:r>
      <w:r w:rsidR="00A84194">
        <w:t>;</w:t>
      </w:r>
      <w:proofErr w:type="gramEnd"/>
    </w:p>
    <w:p w14:paraId="4B4B0518" w14:textId="4CE579E8" w:rsidR="00D015C7" w:rsidRDefault="00D015C7">
      <w:pPr>
        <w:pStyle w:val="a-0000"/>
      </w:pPr>
      <w:r w:rsidRPr="00FF7704">
        <w:tab/>
        <w:t>(</w:t>
      </w:r>
      <w:r w:rsidR="00222209">
        <w:t>b</w:t>
      </w:r>
      <w:r w:rsidRPr="00FF7704">
        <w:t>)</w:t>
      </w:r>
      <w:r w:rsidRPr="00FF7704">
        <w:tab/>
      </w:r>
      <w:r w:rsidR="00222209">
        <w:t>t</w:t>
      </w:r>
      <w:r w:rsidRPr="00FF7704">
        <w:t xml:space="preserve">he directors </w:t>
      </w:r>
      <w:r w:rsidR="00222209">
        <w:t xml:space="preserve">of the applicant </w:t>
      </w:r>
      <w:r w:rsidRPr="00FF7704">
        <w:t>must have completed the ALT</w:t>
      </w:r>
      <w:r w:rsidRPr="00FF7704">
        <w:rPr>
          <w:vertAlign w:val="superscript"/>
        </w:rPr>
        <w:t>X</w:t>
      </w:r>
      <w:r w:rsidRPr="00FF7704">
        <w:t xml:space="preserve"> Directors Induction Programme or must </w:t>
      </w:r>
      <w:proofErr w:type="gramStart"/>
      <w:r w:rsidRPr="00FF7704">
        <w:t>make arrangements</w:t>
      </w:r>
      <w:proofErr w:type="gramEnd"/>
      <w:r w:rsidRPr="00FF7704">
        <w:t xml:space="preserve"> to the satisfaction of the JSE to complete it;</w:t>
      </w:r>
      <w:r w:rsidR="00011FDC">
        <w:t xml:space="preserve"> and</w:t>
      </w:r>
    </w:p>
    <w:p w14:paraId="77BD8227" w14:textId="3B8A9E31" w:rsidR="004E2A22" w:rsidRDefault="004E2A22">
      <w:pPr>
        <w:pStyle w:val="a-0000"/>
      </w:pPr>
      <w:r w:rsidRPr="00FF7704">
        <w:tab/>
        <w:t>(</w:t>
      </w:r>
      <w:r w:rsidR="00A66740">
        <w:t>c</w:t>
      </w:r>
      <w:r w:rsidRPr="00FF7704">
        <w:t>)</w:t>
      </w:r>
      <w:r w:rsidRPr="00FF7704">
        <w:tab/>
      </w:r>
      <w:r w:rsidR="00FA0D3D">
        <w:t>s</w:t>
      </w:r>
      <w:r>
        <w:t xml:space="preserve">hares in the applicant held by the directors and DA cannot be sold or transferred from the listing date </w:t>
      </w:r>
      <w:r w:rsidRPr="00FF7704">
        <w:t>until the publication of the</w:t>
      </w:r>
      <w:r w:rsidR="00997D01">
        <w:t xml:space="preserve"> audited results for the periods in 3.3(b)</w:t>
      </w:r>
      <w:r w:rsidR="00B43EF6">
        <w:t xml:space="preserve"> </w:t>
      </w:r>
      <w:r w:rsidRPr="00FF7704">
        <w:t>after which 50% may be released and the balance one year thereafter</w:t>
      </w:r>
      <w:r>
        <w:t xml:space="preserve">. Shares held by the DA will not be treated as held by the public for purposes of free float. </w:t>
      </w:r>
    </w:p>
    <w:p w14:paraId="4CBA5ED6" w14:textId="77777777" w:rsidR="00BB7FB2" w:rsidRPr="00FF7704" w:rsidRDefault="00BB7FB2" w:rsidP="00BB7FB2">
      <w:pPr>
        <w:pStyle w:val="head2"/>
      </w:pPr>
      <w:r w:rsidRPr="00FF7704">
        <w:t>P</w:t>
      </w:r>
      <w:r>
        <w:t>LS</w:t>
      </w:r>
    </w:p>
    <w:p w14:paraId="24D52630" w14:textId="56CA6B69" w:rsidR="00BB7FB2" w:rsidRPr="00FF7704" w:rsidRDefault="00BB7FB2" w:rsidP="00BB7FB2">
      <w:pPr>
        <w:pStyle w:val="000"/>
      </w:pPr>
      <w:r w:rsidRPr="00FF7704">
        <w:t>21.</w:t>
      </w:r>
      <w:r w:rsidR="00C21E2E">
        <w:t>4</w:t>
      </w:r>
      <w:r w:rsidRPr="00FF7704">
        <w:tab/>
      </w:r>
      <w:r>
        <w:t xml:space="preserve">Applicants </w:t>
      </w:r>
      <w:r w:rsidRPr="00FF7704">
        <w:t xml:space="preserve">must comply with all the provisions </w:t>
      </w:r>
      <w:r>
        <w:t xml:space="preserve">for a PLS in the </w:t>
      </w:r>
      <w:r w:rsidRPr="00FF7704">
        <w:t xml:space="preserve">Requirements, with the exception that the percentage </w:t>
      </w:r>
      <w:r>
        <w:t xml:space="preserve">for RLP </w:t>
      </w:r>
      <w:r w:rsidRPr="00FF7704">
        <w:t xml:space="preserve">in </w:t>
      </w:r>
      <w:r>
        <w:t xml:space="preserve">[6.2(a)] </w:t>
      </w:r>
      <w:r w:rsidRPr="00FF7704">
        <w:t>is 100%.</w:t>
      </w:r>
      <w:r w:rsidRPr="00FF7704">
        <w:rPr>
          <w:rStyle w:val="FootnoteReference"/>
          <w:vertAlign w:val="baseline"/>
        </w:rPr>
        <w:footnoteReference w:customMarkFollows="1" w:id="3"/>
        <w:t> </w:t>
      </w:r>
    </w:p>
    <w:p w14:paraId="35F38BF4" w14:textId="7138B0F0" w:rsidR="00285F99" w:rsidRPr="00FF7704" w:rsidRDefault="00043699" w:rsidP="00285F99">
      <w:pPr>
        <w:pStyle w:val="head2"/>
      </w:pPr>
      <w:r>
        <w:t>Announcements</w:t>
      </w:r>
    </w:p>
    <w:p w14:paraId="5B4CE6B5" w14:textId="1EA82D53" w:rsidR="00285F99" w:rsidRPr="00FF7704" w:rsidRDefault="00285F99" w:rsidP="00285F99">
      <w:pPr>
        <w:pStyle w:val="000"/>
      </w:pPr>
      <w:r w:rsidRPr="00FF7704">
        <w:t>21.</w:t>
      </w:r>
      <w:r w:rsidR="00C21E2E">
        <w:t>5</w:t>
      </w:r>
      <w:r w:rsidRPr="00FF7704">
        <w:tab/>
        <w:t>Announcements must be published on SENS only.</w:t>
      </w:r>
      <w:r w:rsidRPr="00FF7704">
        <w:rPr>
          <w:rStyle w:val="FootnoteReference"/>
          <w:vertAlign w:val="baseline"/>
        </w:rPr>
        <w:footnoteReference w:customMarkFollows="1" w:id="4"/>
        <w:t> </w:t>
      </w:r>
    </w:p>
    <w:p w14:paraId="21E44219" w14:textId="77777777" w:rsidR="007D101D" w:rsidRDefault="007D101D" w:rsidP="000C46E4">
      <w:pPr>
        <w:pStyle w:val="000"/>
        <w:ind w:left="0" w:firstLine="0"/>
        <w:rPr>
          <w:b/>
          <w:bCs/>
        </w:rPr>
      </w:pPr>
    </w:p>
    <w:p w14:paraId="4E3FCBDE" w14:textId="5B27D35B" w:rsidR="00382003" w:rsidRPr="000C46E4" w:rsidRDefault="00382003" w:rsidP="000C46E4">
      <w:pPr>
        <w:pStyle w:val="000"/>
        <w:ind w:left="0" w:firstLine="0"/>
        <w:rPr>
          <w:b/>
          <w:bCs/>
        </w:rPr>
      </w:pPr>
      <w:r w:rsidRPr="000C46E4">
        <w:rPr>
          <w:b/>
          <w:bCs/>
        </w:rPr>
        <w:t>Corporate actions</w:t>
      </w:r>
    </w:p>
    <w:p w14:paraId="007CD540" w14:textId="77777777" w:rsidR="00382003" w:rsidRPr="00FF7704" w:rsidRDefault="00382003">
      <w:pPr>
        <w:pStyle w:val="head2"/>
      </w:pPr>
      <w:r w:rsidRPr="00FF7704">
        <w:t>Issues for cash</w:t>
      </w:r>
    </w:p>
    <w:p w14:paraId="64E3CC33" w14:textId="7D58372C" w:rsidR="00382003" w:rsidRPr="00FF7704" w:rsidRDefault="00382003" w:rsidP="006D58C4">
      <w:pPr>
        <w:pStyle w:val="000"/>
      </w:pPr>
      <w:r w:rsidRPr="00FF7704">
        <w:t>21.</w:t>
      </w:r>
      <w:r w:rsidR="00C21E2E">
        <w:t>6</w:t>
      </w:r>
      <w:r w:rsidRPr="00FF7704">
        <w:tab/>
      </w:r>
      <w:r>
        <w:t>The</w:t>
      </w:r>
      <w:r w:rsidRPr="00FF7704">
        <w:t xml:space="preserve"> </w:t>
      </w:r>
      <w:r>
        <w:t>general</w:t>
      </w:r>
      <w:r w:rsidR="006D58C4">
        <w:t xml:space="preserve"> issue of shares for cash </w:t>
      </w:r>
      <w:r>
        <w:t>limitation in</w:t>
      </w:r>
      <w:r w:rsidR="00516123">
        <w:t xml:space="preserve"> </w:t>
      </w:r>
      <w:r>
        <w:t>[6.38.(c)] is</w:t>
      </w:r>
      <w:r w:rsidRPr="00FF7704">
        <w:t xml:space="preserve"> 50%</w:t>
      </w:r>
      <w:r w:rsidR="00516123">
        <w:t>.</w:t>
      </w:r>
    </w:p>
    <w:p w14:paraId="34A2B7F4" w14:textId="068B6DC0" w:rsidR="00D015C7" w:rsidRPr="00FF7704" w:rsidRDefault="00D015C7">
      <w:pPr>
        <w:pStyle w:val="head2"/>
      </w:pPr>
      <w:r w:rsidRPr="00FF7704">
        <w:t>Transactions</w:t>
      </w:r>
    </w:p>
    <w:p w14:paraId="09CB8E59" w14:textId="6EB45DC4" w:rsidR="00481E10" w:rsidRDefault="00D015C7">
      <w:pPr>
        <w:pStyle w:val="0000"/>
      </w:pPr>
      <w:r w:rsidRPr="00FF7704">
        <w:t>21.</w:t>
      </w:r>
      <w:r w:rsidR="00C21E2E">
        <w:t>7</w:t>
      </w:r>
      <w:r w:rsidRPr="00FF7704">
        <w:tab/>
      </w:r>
      <w:r w:rsidR="00481E10">
        <w:t>The following applies to transactions:</w:t>
      </w:r>
    </w:p>
    <w:p w14:paraId="0F72DF77" w14:textId="27BCC3B3" w:rsidR="004B7533" w:rsidRDefault="00481E10" w:rsidP="00481E10">
      <w:pPr>
        <w:pStyle w:val="a-0000"/>
      </w:pPr>
      <w:r>
        <w:tab/>
        <w:t>(a)</w:t>
      </w:r>
      <w:r>
        <w:tab/>
      </w:r>
      <w:r w:rsidR="004B7533">
        <w:t>t</w:t>
      </w:r>
      <w:r w:rsidR="005168C4">
        <w:t>he category 1 threshold in terms of 9.4(b) is 50%</w:t>
      </w:r>
      <w:r w:rsidR="00914F54">
        <w:t xml:space="preserve"> or </w:t>
      </w:r>
      <w:proofErr w:type="gramStart"/>
      <w:r w:rsidR="00914F54">
        <w:t>more</w:t>
      </w:r>
      <w:r w:rsidR="00D652A4">
        <w:t>;</w:t>
      </w:r>
      <w:proofErr w:type="gramEnd"/>
      <w:r w:rsidR="004B7533">
        <w:t xml:space="preserve"> </w:t>
      </w:r>
    </w:p>
    <w:p w14:paraId="6177DF1C" w14:textId="765FC2C1" w:rsidR="00D015C7" w:rsidRDefault="004B7533" w:rsidP="000C46E4">
      <w:pPr>
        <w:pStyle w:val="a-0000"/>
      </w:pPr>
      <w:r>
        <w:tab/>
        <w:t>(b)</w:t>
      </w:r>
      <w:r>
        <w:tab/>
        <w:t>the category 2 threshold</w:t>
      </w:r>
      <w:r w:rsidR="00D652A4">
        <w:t xml:space="preserve"> in terms of 9.4(a)</w:t>
      </w:r>
      <w:r>
        <w:t xml:space="preserve"> are 5% more bu</w:t>
      </w:r>
      <w:r w:rsidR="00D652A4">
        <w:t>t</w:t>
      </w:r>
      <w:r>
        <w:t xml:space="preserve"> less than 50%</w:t>
      </w:r>
      <w:r w:rsidR="000C46E4">
        <w:t>,</w:t>
      </w:r>
      <w:r w:rsidR="005D726A">
        <w:tab/>
      </w:r>
    </w:p>
    <w:p w14:paraId="6BB97CB3" w14:textId="77777777" w:rsidR="009602DA" w:rsidRPr="00FF7704" w:rsidRDefault="009602DA" w:rsidP="009602DA">
      <w:pPr>
        <w:pStyle w:val="head2"/>
      </w:pPr>
      <w:r w:rsidRPr="00FF7704">
        <w:lastRenderedPageBreak/>
        <w:t>Related party transactions</w:t>
      </w:r>
    </w:p>
    <w:p w14:paraId="45F1C5E7" w14:textId="769F37CC" w:rsidR="009602DA" w:rsidRPr="00FF7704" w:rsidRDefault="009602DA" w:rsidP="009602DA">
      <w:pPr>
        <w:pStyle w:val="0000"/>
      </w:pPr>
      <w:r w:rsidRPr="00FF7704">
        <w:t>21.</w:t>
      </w:r>
      <w:r w:rsidR="00C21E2E">
        <w:t>8</w:t>
      </w:r>
      <w:r w:rsidRPr="00FF7704">
        <w:tab/>
      </w:r>
      <w:r>
        <w:t>The following applies to related party transactions</w:t>
      </w:r>
      <w:r w:rsidRPr="00FF7704">
        <w:t>:</w:t>
      </w:r>
      <w:r w:rsidRPr="00FF7704">
        <w:rPr>
          <w:rStyle w:val="FootnoteReference"/>
          <w:vertAlign w:val="baseline"/>
        </w:rPr>
        <w:footnoteReference w:customMarkFollows="1" w:id="5"/>
        <w:t> </w:t>
      </w:r>
    </w:p>
    <w:p w14:paraId="674217E4" w14:textId="7414355E" w:rsidR="009602DA" w:rsidRPr="00FF7704" w:rsidRDefault="009602DA" w:rsidP="009602DA">
      <w:pPr>
        <w:pStyle w:val="a-0000"/>
      </w:pPr>
      <w:r w:rsidRPr="00FF7704">
        <w:tab/>
        <w:t>(a)</w:t>
      </w:r>
      <w:r w:rsidRPr="00FF7704">
        <w:tab/>
      </w:r>
      <w:r>
        <w:t xml:space="preserve">the related party transaction exemption in 10.1(c)(ii) is below </w:t>
      </w:r>
      <w:proofErr w:type="gramStart"/>
      <w:r>
        <w:t>10%;</w:t>
      </w:r>
      <w:proofErr w:type="gramEnd"/>
    </w:p>
    <w:p w14:paraId="6D9B7206" w14:textId="44A7A13F" w:rsidR="009602DA" w:rsidRDefault="009602DA" w:rsidP="009602DA">
      <w:pPr>
        <w:tabs>
          <w:tab w:val="left" w:pos="794"/>
          <w:tab w:val="left" w:pos="1304"/>
        </w:tabs>
        <w:ind w:left="1304" w:hanging="1304"/>
      </w:pPr>
      <w:r w:rsidRPr="00FF7704">
        <w:tab/>
        <w:t>(b)</w:t>
      </w:r>
      <w:r w:rsidRPr="00FF7704">
        <w:tab/>
      </w:r>
      <w:r>
        <w:t xml:space="preserve">the </w:t>
      </w:r>
      <w:proofErr w:type="gramStart"/>
      <w:r>
        <w:t>small related</w:t>
      </w:r>
      <w:proofErr w:type="gramEnd"/>
      <w:r>
        <w:t xml:space="preserve"> party transaction thresholds in 10.3 is between </w:t>
      </w:r>
      <w:r w:rsidR="0046176C">
        <w:t xml:space="preserve">more than </w:t>
      </w:r>
      <w:r>
        <w:t>10% and 50%</w:t>
      </w:r>
      <w:r w:rsidRPr="00FF7704">
        <w:t>;</w:t>
      </w:r>
      <w:r w:rsidRPr="00FF7704">
        <w:rPr>
          <w:rStyle w:val="FootnoteReference"/>
          <w:vertAlign w:val="baseline"/>
        </w:rPr>
        <w:footnoteReference w:customMarkFollows="1" w:id="6"/>
        <w:t> </w:t>
      </w:r>
    </w:p>
    <w:p w14:paraId="7F72351B" w14:textId="4DF96C20" w:rsidR="009602DA" w:rsidRPr="00FF7704" w:rsidRDefault="009602DA" w:rsidP="009602DA">
      <w:pPr>
        <w:pStyle w:val="a-0000"/>
      </w:pPr>
      <w:r w:rsidRPr="00FF7704">
        <w:tab/>
        <w:t>(</w:t>
      </w:r>
      <w:r>
        <w:t>c</w:t>
      </w:r>
      <w:r w:rsidRPr="00FF7704">
        <w:t>)</w:t>
      </w:r>
      <w:r w:rsidRPr="00FF7704">
        <w:tab/>
        <w:t>related party transactions are subject to</w:t>
      </w:r>
      <w:r>
        <w:t xml:space="preserve"> Section 9 and 10</w:t>
      </w:r>
      <w:r w:rsidRPr="00FF7704">
        <w:t xml:space="preserve">, where </w:t>
      </w:r>
      <w:r>
        <w:t xml:space="preserve">the transaction is greater than </w:t>
      </w:r>
      <w:r w:rsidRPr="00FF7704">
        <w:t>50%</w:t>
      </w:r>
      <w:r>
        <w:t>; and</w:t>
      </w:r>
      <w:r w:rsidRPr="00FF7704">
        <w:rPr>
          <w:rStyle w:val="FootnoteReference"/>
          <w:vertAlign w:val="baseline"/>
        </w:rPr>
        <w:footnoteReference w:customMarkFollows="1" w:id="7"/>
        <w:t> </w:t>
      </w:r>
    </w:p>
    <w:p w14:paraId="5B6C406C" w14:textId="77777777" w:rsidR="009602DA" w:rsidRPr="00FF7704" w:rsidRDefault="009602DA" w:rsidP="009602DA">
      <w:pPr>
        <w:pStyle w:val="a-0000"/>
      </w:pPr>
      <w:r w:rsidRPr="00FF7704">
        <w:tab/>
        <w:t>(</w:t>
      </w:r>
      <w:r>
        <w:t>d</w:t>
      </w:r>
      <w:r w:rsidRPr="00FF7704">
        <w:t>)</w:t>
      </w:r>
      <w:r w:rsidRPr="00FF7704">
        <w:tab/>
        <w:t xml:space="preserve">all transactions with related parties must be announced (containing the information required by paragraph </w:t>
      </w:r>
      <w:r>
        <w:t>[</w:t>
      </w:r>
      <w:r w:rsidRPr="00FF7704">
        <w:t>9.1</w:t>
      </w:r>
      <w:r>
        <w:t>3]</w:t>
      </w:r>
      <w:r w:rsidRPr="00FF7704">
        <w:t>) irrespective of the size of the transaction</w:t>
      </w:r>
      <w:r>
        <w:t>.</w:t>
      </w:r>
    </w:p>
    <w:p w14:paraId="7976DDCA" w14:textId="2E5F3E2F" w:rsidR="00D779E7" w:rsidRPr="00FF7704" w:rsidRDefault="00D779E7" w:rsidP="00D779E7">
      <w:pPr>
        <w:pStyle w:val="head2"/>
      </w:pPr>
      <w:r w:rsidRPr="00FF7704">
        <w:t>Financial information</w:t>
      </w:r>
      <w:r>
        <w:t xml:space="preserve">: </w:t>
      </w:r>
      <w:r w:rsidR="00D4192D">
        <w:t>Transactions</w:t>
      </w:r>
      <w:r w:rsidR="00E700A3">
        <w:t xml:space="preserve"> </w:t>
      </w:r>
    </w:p>
    <w:p w14:paraId="60277DA6" w14:textId="76E2B8F0" w:rsidR="00D779E7" w:rsidRDefault="00D779E7" w:rsidP="00D779E7">
      <w:pPr>
        <w:pStyle w:val="0000"/>
      </w:pPr>
      <w:r w:rsidRPr="00C94C64">
        <w:t>21.</w:t>
      </w:r>
      <w:r w:rsidR="00C21E2E">
        <w:t>9</w:t>
      </w:r>
      <w:r w:rsidRPr="00C94C64">
        <w:tab/>
      </w:r>
      <w:r w:rsidR="000C29F6" w:rsidRPr="00FF7704">
        <w:t>All the provisions of Section 8 are applicable</w:t>
      </w:r>
      <w:r w:rsidRPr="00C94C64">
        <w:t>.</w:t>
      </w:r>
      <w:r w:rsidRPr="00FF7704">
        <w:rPr>
          <w:rStyle w:val="FootnoteReference"/>
          <w:vertAlign w:val="baseline"/>
        </w:rPr>
        <w:footnoteReference w:customMarkFollows="1" w:id="8"/>
        <w:t> </w:t>
      </w:r>
    </w:p>
    <w:sectPr w:rsidR="00D779E7">
      <w:headerReference w:type="even" r:id="rId8"/>
      <w:footerReference w:type="even" r:id="rId9"/>
      <w:pgSz w:w="11907" w:h="16840" w:code="9"/>
      <w:pgMar w:top="1134" w:right="2835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26F4F1" w14:textId="77777777" w:rsidR="00AF389C" w:rsidRDefault="00AF389C">
      <w:r>
        <w:separator/>
      </w:r>
    </w:p>
  </w:endnote>
  <w:endnote w:type="continuationSeparator" w:id="0">
    <w:p w14:paraId="581471E2" w14:textId="77777777" w:rsidR="00AF389C" w:rsidRDefault="00AF3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DEF1B8" w14:textId="77777777" w:rsidR="00D015C7" w:rsidRDefault="00D015C7">
    <w:pPr>
      <w:tabs>
        <w:tab w:val="left" w:pos="6521"/>
      </w:tabs>
      <w:spacing w:line="80" w:lineRule="exact"/>
      <w:rPr>
        <w:sz w:val="8"/>
        <w:u w:val="single"/>
      </w:rPr>
    </w:pPr>
  </w:p>
  <w:tbl>
    <w:tblPr>
      <w:tblW w:w="0" w:type="auto"/>
      <w:tblBorders>
        <w:top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835"/>
      <w:gridCol w:w="851"/>
      <w:gridCol w:w="2835"/>
    </w:tblGrid>
    <w:tr w:rsidR="00D015C7" w14:paraId="29C7CA5D" w14:textId="77777777">
      <w:tc>
        <w:tcPr>
          <w:tcW w:w="2835" w:type="dxa"/>
        </w:tcPr>
        <w:p w14:paraId="37EBF616" w14:textId="77777777" w:rsidR="00D015C7" w:rsidRDefault="00D015C7">
          <w:pPr>
            <w:tabs>
              <w:tab w:val="left" w:pos="6521"/>
            </w:tabs>
            <w:spacing w:line="180" w:lineRule="exact"/>
            <w:rPr>
              <w:rFonts w:ascii="Rockwell" w:hAnsi="Rockwell"/>
              <w:sz w:val="16"/>
              <w:u w:val="single"/>
            </w:rPr>
          </w:pPr>
          <w:r>
            <w:rPr>
              <w:rFonts w:ascii="Rockwell" w:hAnsi="Rockwell"/>
              <w:sz w:val="14"/>
            </w:rPr>
            <w:t>[Issue 9]</w:t>
          </w:r>
        </w:p>
      </w:tc>
      <w:tc>
        <w:tcPr>
          <w:tcW w:w="851" w:type="dxa"/>
        </w:tcPr>
        <w:p w14:paraId="724C8673" w14:textId="77777777" w:rsidR="00D015C7" w:rsidRDefault="00D015C7">
          <w:pPr>
            <w:tabs>
              <w:tab w:val="left" w:pos="6521"/>
            </w:tabs>
            <w:spacing w:line="180" w:lineRule="exact"/>
            <w:jc w:val="center"/>
            <w:rPr>
              <w:rFonts w:ascii="Rockwell" w:hAnsi="Rockwell"/>
              <w:sz w:val="16"/>
              <w:u w:val="single"/>
            </w:rPr>
          </w:pPr>
          <w:r>
            <w:rPr>
              <w:rStyle w:val="PageNumber"/>
              <w:rFonts w:ascii="Rockwell" w:hAnsi="Rockwell"/>
              <w:sz w:val="16"/>
            </w:rPr>
            <w:t>21–</w:t>
          </w:r>
          <w:r>
            <w:rPr>
              <w:rStyle w:val="PageNumber"/>
              <w:rFonts w:ascii="Rockwell" w:hAnsi="Rockwell"/>
              <w:sz w:val="16"/>
            </w:rPr>
            <w:fldChar w:fldCharType="begin"/>
          </w:r>
          <w:r>
            <w:rPr>
              <w:rStyle w:val="PageNumber"/>
              <w:rFonts w:ascii="Rockwell" w:hAnsi="Rockwell"/>
              <w:sz w:val="16"/>
            </w:rPr>
            <w:instrText xml:space="preserve"> PAGE </w:instrText>
          </w:r>
          <w:r>
            <w:rPr>
              <w:rStyle w:val="PageNumber"/>
              <w:rFonts w:ascii="Rockwell" w:hAnsi="Rockwell"/>
              <w:sz w:val="16"/>
            </w:rPr>
            <w:fldChar w:fldCharType="separate"/>
          </w:r>
          <w:r>
            <w:rPr>
              <w:rStyle w:val="PageNumber"/>
              <w:rFonts w:ascii="Rockwell" w:hAnsi="Rockwell"/>
              <w:noProof/>
              <w:sz w:val="16"/>
            </w:rPr>
            <w:t>10</w:t>
          </w:r>
          <w:r>
            <w:rPr>
              <w:rStyle w:val="PageNumber"/>
              <w:rFonts w:ascii="Rockwell" w:hAnsi="Rockwell"/>
              <w:sz w:val="16"/>
            </w:rPr>
            <w:fldChar w:fldCharType="end"/>
          </w:r>
        </w:p>
      </w:tc>
      <w:tc>
        <w:tcPr>
          <w:tcW w:w="2835" w:type="dxa"/>
        </w:tcPr>
        <w:p w14:paraId="7CCEEF85" w14:textId="77777777" w:rsidR="00D015C7" w:rsidRDefault="00D015C7">
          <w:pPr>
            <w:tabs>
              <w:tab w:val="left" w:pos="6521"/>
            </w:tabs>
            <w:spacing w:line="180" w:lineRule="exact"/>
            <w:ind w:right="57"/>
            <w:jc w:val="right"/>
            <w:rPr>
              <w:rFonts w:ascii="Rockwell" w:hAnsi="Rockwell"/>
              <w:sz w:val="14"/>
            </w:rPr>
          </w:pPr>
        </w:p>
      </w:tc>
    </w:tr>
  </w:tbl>
  <w:p w14:paraId="70AB0DCD" w14:textId="77777777" w:rsidR="00D015C7" w:rsidRDefault="00D015C7">
    <w:pPr>
      <w:tabs>
        <w:tab w:val="left" w:pos="6521"/>
      </w:tabs>
      <w:spacing w:line="180" w:lineRule="exact"/>
      <w:rPr>
        <w:sz w:val="16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24CA96" w14:textId="77777777" w:rsidR="00AF389C" w:rsidRDefault="00AF389C">
      <w:pPr>
        <w:pStyle w:val="Footer"/>
        <w:spacing w:before="80" w:after="160" w:line="120" w:lineRule="exact"/>
        <w:jc w:val="left"/>
        <w:rPr>
          <w:sz w:val="26"/>
        </w:rPr>
      </w:pPr>
      <w:r>
        <w:rPr>
          <w:sz w:val="12"/>
        </w:rPr>
        <w:t>________________________</w:t>
      </w:r>
    </w:p>
  </w:footnote>
  <w:footnote w:type="continuationSeparator" w:id="0">
    <w:p w14:paraId="012BECDF" w14:textId="77777777" w:rsidR="00AF389C" w:rsidRDefault="00AF389C">
      <w:r>
        <w:continuationSeparator/>
      </w:r>
    </w:p>
  </w:footnote>
  <w:footnote w:id="1">
    <w:p w14:paraId="17D5651A" w14:textId="0022C1D0" w:rsidR="00D015C7" w:rsidRPr="00404DEF" w:rsidRDefault="001879A8" w:rsidP="00404DEF">
      <w:pPr>
        <w:pStyle w:val="footnotes"/>
      </w:pPr>
      <w:r>
        <w:tab/>
      </w:r>
    </w:p>
  </w:footnote>
  <w:footnote w:id="2">
    <w:p w14:paraId="70945755" w14:textId="583B907C" w:rsidR="00D015C7" w:rsidRPr="00404DEF" w:rsidRDefault="00D015C7" w:rsidP="00404DEF">
      <w:pPr>
        <w:pStyle w:val="footnotes"/>
      </w:pPr>
    </w:p>
  </w:footnote>
  <w:footnote w:id="3">
    <w:p w14:paraId="2026CF3D" w14:textId="77777777" w:rsidR="00BB7FB2" w:rsidRPr="00404DEF" w:rsidRDefault="00BB7FB2" w:rsidP="00BB7FB2">
      <w:pPr>
        <w:pStyle w:val="footnotes"/>
      </w:pPr>
    </w:p>
  </w:footnote>
  <w:footnote w:id="4">
    <w:p w14:paraId="303B8A24" w14:textId="77777777" w:rsidR="00285F99" w:rsidRPr="00404DEF" w:rsidRDefault="00285F99" w:rsidP="00285F99">
      <w:pPr>
        <w:pStyle w:val="footnotes"/>
      </w:pPr>
    </w:p>
  </w:footnote>
  <w:footnote w:id="5">
    <w:p w14:paraId="62F05390" w14:textId="77777777" w:rsidR="009602DA" w:rsidRPr="00404DEF" w:rsidRDefault="009602DA" w:rsidP="009602DA">
      <w:pPr>
        <w:pStyle w:val="footnotes"/>
      </w:pPr>
    </w:p>
  </w:footnote>
  <w:footnote w:id="6">
    <w:p w14:paraId="1D1FDC7D" w14:textId="77777777" w:rsidR="009602DA" w:rsidRPr="00404DEF" w:rsidRDefault="009602DA" w:rsidP="009602DA">
      <w:pPr>
        <w:pStyle w:val="footnotes"/>
      </w:pPr>
    </w:p>
  </w:footnote>
  <w:footnote w:id="7">
    <w:p w14:paraId="6A5A5D5B" w14:textId="77777777" w:rsidR="009602DA" w:rsidRPr="00404DEF" w:rsidRDefault="009602DA" w:rsidP="009602DA">
      <w:pPr>
        <w:pStyle w:val="footnotes"/>
      </w:pPr>
    </w:p>
  </w:footnote>
  <w:footnote w:id="8">
    <w:p w14:paraId="660C3F77" w14:textId="77777777" w:rsidR="00D779E7" w:rsidRPr="00404DEF" w:rsidRDefault="00D779E7" w:rsidP="00D779E7">
      <w:pPr>
        <w:pStyle w:val="footnote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549"/>
    </w:tblGrid>
    <w:tr w:rsidR="00D015C7" w14:paraId="1795C9D7" w14:textId="77777777">
      <w:tc>
        <w:tcPr>
          <w:tcW w:w="6549" w:type="dxa"/>
        </w:tcPr>
        <w:p w14:paraId="5AF22C2E" w14:textId="77777777" w:rsidR="00D015C7" w:rsidRDefault="00D015C7">
          <w:pPr>
            <w:tabs>
              <w:tab w:val="right" w:pos="6521"/>
            </w:tabs>
            <w:spacing w:before="0" w:after="60" w:line="160" w:lineRule="exact"/>
            <w:jc w:val="left"/>
            <w:rPr>
              <w:rFonts w:ascii="Rockwell" w:hAnsi="Rockwell"/>
              <w:sz w:val="14"/>
            </w:rPr>
          </w:pPr>
          <w:r>
            <w:rPr>
              <w:rFonts w:ascii="Rockwell" w:hAnsi="Rockwell"/>
              <w:sz w:val="14"/>
            </w:rPr>
            <w:t>JSE LIMITED LISTINGS REQUIREMENTS</w:t>
          </w:r>
          <w:r>
            <w:rPr>
              <w:rFonts w:ascii="Rockwell" w:hAnsi="Rockwell"/>
              <w:sz w:val="14"/>
            </w:rPr>
            <w:tab/>
          </w:r>
        </w:p>
      </w:tc>
    </w:tr>
  </w:tbl>
  <w:p w14:paraId="686CEA83" w14:textId="77777777" w:rsidR="00D015C7" w:rsidRDefault="00D015C7">
    <w:pPr>
      <w:pStyle w:val="Header"/>
      <w:tabs>
        <w:tab w:val="clear" w:pos="4320"/>
        <w:tab w:val="clear" w:pos="8640"/>
      </w:tabs>
      <w:spacing w:befor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6C1811"/>
    <w:multiLevelType w:val="multilevel"/>
    <w:tmpl w:val="F048947E"/>
    <w:lvl w:ilvl="0">
      <w:start w:val="2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E897086"/>
    <w:multiLevelType w:val="multilevel"/>
    <w:tmpl w:val="471C8768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767C3AA2"/>
    <w:multiLevelType w:val="multilevel"/>
    <w:tmpl w:val="2B76DBB6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414741656">
    <w:abstractNumId w:val="2"/>
  </w:num>
  <w:num w:numId="2" w16cid:durableId="37245721">
    <w:abstractNumId w:val="0"/>
  </w:num>
  <w:num w:numId="3" w16cid:durableId="8520369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linkStyles/>
  <w:doNotTrackMoves/>
  <w:defaultTabStop w:val="720"/>
  <w:consecutiveHyphenLimit w:val="2"/>
  <w:hyphenationZone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04DEF"/>
    <w:rsid w:val="00010F62"/>
    <w:rsid w:val="000110EC"/>
    <w:rsid w:val="00011FDC"/>
    <w:rsid w:val="000220E4"/>
    <w:rsid w:val="00024947"/>
    <w:rsid w:val="0003570A"/>
    <w:rsid w:val="0004292A"/>
    <w:rsid w:val="00043699"/>
    <w:rsid w:val="0004386D"/>
    <w:rsid w:val="00051A33"/>
    <w:rsid w:val="000861E1"/>
    <w:rsid w:val="000A1E17"/>
    <w:rsid w:val="000C29F6"/>
    <w:rsid w:val="000C3D51"/>
    <w:rsid w:val="000C46E4"/>
    <w:rsid w:val="000E1D70"/>
    <w:rsid w:val="00104C99"/>
    <w:rsid w:val="00117087"/>
    <w:rsid w:val="00121C30"/>
    <w:rsid w:val="0012504A"/>
    <w:rsid w:val="001251E0"/>
    <w:rsid w:val="001477FA"/>
    <w:rsid w:val="00154FE5"/>
    <w:rsid w:val="00162DDF"/>
    <w:rsid w:val="00185E85"/>
    <w:rsid w:val="001879A8"/>
    <w:rsid w:val="001C4FFA"/>
    <w:rsid w:val="001D4DC6"/>
    <w:rsid w:val="001D662B"/>
    <w:rsid w:val="001E71E3"/>
    <w:rsid w:val="002012BB"/>
    <w:rsid w:val="00212C71"/>
    <w:rsid w:val="00222209"/>
    <w:rsid w:val="00233540"/>
    <w:rsid w:val="002550C8"/>
    <w:rsid w:val="0025612D"/>
    <w:rsid w:val="00271A63"/>
    <w:rsid w:val="00280B1A"/>
    <w:rsid w:val="00285F99"/>
    <w:rsid w:val="002A5011"/>
    <w:rsid w:val="002A64BA"/>
    <w:rsid w:val="002B49DD"/>
    <w:rsid w:val="002B5468"/>
    <w:rsid w:val="002D349F"/>
    <w:rsid w:val="002D6E26"/>
    <w:rsid w:val="002D749A"/>
    <w:rsid w:val="00324E99"/>
    <w:rsid w:val="00325105"/>
    <w:rsid w:val="00347577"/>
    <w:rsid w:val="0035639D"/>
    <w:rsid w:val="00362E09"/>
    <w:rsid w:val="00362F9A"/>
    <w:rsid w:val="00374549"/>
    <w:rsid w:val="00381CF2"/>
    <w:rsid w:val="00382003"/>
    <w:rsid w:val="003B09A8"/>
    <w:rsid w:val="003B73E1"/>
    <w:rsid w:val="003F7B21"/>
    <w:rsid w:val="004006FC"/>
    <w:rsid w:val="00401C69"/>
    <w:rsid w:val="00404DEF"/>
    <w:rsid w:val="004231C5"/>
    <w:rsid w:val="0043180E"/>
    <w:rsid w:val="004318F2"/>
    <w:rsid w:val="00433B83"/>
    <w:rsid w:val="00443400"/>
    <w:rsid w:val="0046176C"/>
    <w:rsid w:val="004809EC"/>
    <w:rsid w:val="00481E10"/>
    <w:rsid w:val="00492B41"/>
    <w:rsid w:val="004A1948"/>
    <w:rsid w:val="004B11E1"/>
    <w:rsid w:val="004B2CB0"/>
    <w:rsid w:val="004B7533"/>
    <w:rsid w:val="004B7E94"/>
    <w:rsid w:val="004D1913"/>
    <w:rsid w:val="004E2A22"/>
    <w:rsid w:val="005056A0"/>
    <w:rsid w:val="005066A5"/>
    <w:rsid w:val="00516123"/>
    <w:rsid w:val="005168C4"/>
    <w:rsid w:val="00532B60"/>
    <w:rsid w:val="005358E3"/>
    <w:rsid w:val="00541BAB"/>
    <w:rsid w:val="00541FA6"/>
    <w:rsid w:val="0055207B"/>
    <w:rsid w:val="00552A94"/>
    <w:rsid w:val="00561BEA"/>
    <w:rsid w:val="005649A6"/>
    <w:rsid w:val="005662A0"/>
    <w:rsid w:val="0057518D"/>
    <w:rsid w:val="005761CA"/>
    <w:rsid w:val="00581E6A"/>
    <w:rsid w:val="005A5CC6"/>
    <w:rsid w:val="005A5E67"/>
    <w:rsid w:val="005B3DE8"/>
    <w:rsid w:val="005B657A"/>
    <w:rsid w:val="005D22A3"/>
    <w:rsid w:val="005D726A"/>
    <w:rsid w:val="00601B11"/>
    <w:rsid w:val="00602FEE"/>
    <w:rsid w:val="00604EAE"/>
    <w:rsid w:val="00611B62"/>
    <w:rsid w:val="00621B8C"/>
    <w:rsid w:val="00633F49"/>
    <w:rsid w:val="006342D7"/>
    <w:rsid w:val="00646173"/>
    <w:rsid w:val="0064619F"/>
    <w:rsid w:val="00652AB9"/>
    <w:rsid w:val="00667E8C"/>
    <w:rsid w:val="00672206"/>
    <w:rsid w:val="006A5D04"/>
    <w:rsid w:val="006C3588"/>
    <w:rsid w:val="006C491F"/>
    <w:rsid w:val="006D58C4"/>
    <w:rsid w:val="00702846"/>
    <w:rsid w:val="00702871"/>
    <w:rsid w:val="00710CF4"/>
    <w:rsid w:val="00712DB7"/>
    <w:rsid w:val="00715FB6"/>
    <w:rsid w:val="007302AB"/>
    <w:rsid w:val="00730AC0"/>
    <w:rsid w:val="00735527"/>
    <w:rsid w:val="00743F75"/>
    <w:rsid w:val="0074460D"/>
    <w:rsid w:val="007451E5"/>
    <w:rsid w:val="00753AEA"/>
    <w:rsid w:val="00757D75"/>
    <w:rsid w:val="00765178"/>
    <w:rsid w:val="00765FAE"/>
    <w:rsid w:val="00772DE1"/>
    <w:rsid w:val="0078636D"/>
    <w:rsid w:val="0079283D"/>
    <w:rsid w:val="007B14BE"/>
    <w:rsid w:val="007B5B0F"/>
    <w:rsid w:val="007B7493"/>
    <w:rsid w:val="007C1E83"/>
    <w:rsid w:val="007D101D"/>
    <w:rsid w:val="00803A93"/>
    <w:rsid w:val="008153B6"/>
    <w:rsid w:val="00822230"/>
    <w:rsid w:val="008243ED"/>
    <w:rsid w:val="00831004"/>
    <w:rsid w:val="00845FBF"/>
    <w:rsid w:val="00852593"/>
    <w:rsid w:val="0086573C"/>
    <w:rsid w:val="00865B9F"/>
    <w:rsid w:val="0089044E"/>
    <w:rsid w:val="008C408A"/>
    <w:rsid w:val="008C7205"/>
    <w:rsid w:val="008D48C1"/>
    <w:rsid w:val="008D7F2D"/>
    <w:rsid w:val="008E0D5F"/>
    <w:rsid w:val="008F2D26"/>
    <w:rsid w:val="009014DF"/>
    <w:rsid w:val="00914F54"/>
    <w:rsid w:val="00915FF2"/>
    <w:rsid w:val="0091752E"/>
    <w:rsid w:val="00920CB4"/>
    <w:rsid w:val="00942969"/>
    <w:rsid w:val="00957BB3"/>
    <w:rsid w:val="009602DA"/>
    <w:rsid w:val="00963FF7"/>
    <w:rsid w:val="00977EE4"/>
    <w:rsid w:val="009828D5"/>
    <w:rsid w:val="00995AE6"/>
    <w:rsid w:val="00997929"/>
    <w:rsid w:val="00997D01"/>
    <w:rsid w:val="009A2740"/>
    <w:rsid w:val="009A4BF6"/>
    <w:rsid w:val="009A6DF8"/>
    <w:rsid w:val="009E608D"/>
    <w:rsid w:val="00A1054D"/>
    <w:rsid w:val="00A23939"/>
    <w:rsid w:val="00A25206"/>
    <w:rsid w:val="00A3487D"/>
    <w:rsid w:val="00A55F2D"/>
    <w:rsid w:val="00A631B1"/>
    <w:rsid w:val="00A66740"/>
    <w:rsid w:val="00A84194"/>
    <w:rsid w:val="00AA2F04"/>
    <w:rsid w:val="00AA604A"/>
    <w:rsid w:val="00AD42C5"/>
    <w:rsid w:val="00AE439E"/>
    <w:rsid w:val="00AF2937"/>
    <w:rsid w:val="00AF389C"/>
    <w:rsid w:val="00AF7A30"/>
    <w:rsid w:val="00B01A20"/>
    <w:rsid w:val="00B1562C"/>
    <w:rsid w:val="00B43A91"/>
    <w:rsid w:val="00B43EF6"/>
    <w:rsid w:val="00B86F4D"/>
    <w:rsid w:val="00B92DDB"/>
    <w:rsid w:val="00BA1DF8"/>
    <w:rsid w:val="00BB7FB2"/>
    <w:rsid w:val="00BC188C"/>
    <w:rsid w:val="00BC4BF6"/>
    <w:rsid w:val="00C04987"/>
    <w:rsid w:val="00C05F51"/>
    <w:rsid w:val="00C06BAE"/>
    <w:rsid w:val="00C17D19"/>
    <w:rsid w:val="00C21232"/>
    <w:rsid w:val="00C21E2E"/>
    <w:rsid w:val="00C30313"/>
    <w:rsid w:val="00C35985"/>
    <w:rsid w:val="00C4403F"/>
    <w:rsid w:val="00C4466E"/>
    <w:rsid w:val="00C45F87"/>
    <w:rsid w:val="00C551D3"/>
    <w:rsid w:val="00C57073"/>
    <w:rsid w:val="00C93363"/>
    <w:rsid w:val="00C94C64"/>
    <w:rsid w:val="00C953B8"/>
    <w:rsid w:val="00CA1C53"/>
    <w:rsid w:val="00CA20AC"/>
    <w:rsid w:val="00CB7EF1"/>
    <w:rsid w:val="00CD400C"/>
    <w:rsid w:val="00CE59CD"/>
    <w:rsid w:val="00D015C7"/>
    <w:rsid w:val="00D217FF"/>
    <w:rsid w:val="00D256FD"/>
    <w:rsid w:val="00D346BC"/>
    <w:rsid w:val="00D40AFA"/>
    <w:rsid w:val="00D4192D"/>
    <w:rsid w:val="00D44875"/>
    <w:rsid w:val="00D652A4"/>
    <w:rsid w:val="00D661EA"/>
    <w:rsid w:val="00D702DF"/>
    <w:rsid w:val="00D70F6F"/>
    <w:rsid w:val="00D779E7"/>
    <w:rsid w:val="00D87B4A"/>
    <w:rsid w:val="00D9143F"/>
    <w:rsid w:val="00D93F16"/>
    <w:rsid w:val="00D94D1A"/>
    <w:rsid w:val="00D95CF8"/>
    <w:rsid w:val="00DA4B1A"/>
    <w:rsid w:val="00DA5311"/>
    <w:rsid w:val="00DC4CA1"/>
    <w:rsid w:val="00DD3F26"/>
    <w:rsid w:val="00DD5CFA"/>
    <w:rsid w:val="00DD66AE"/>
    <w:rsid w:val="00E05D9B"/>
    <w:rsid w:val="00E12442"/>
    <w:rsid w:val="00E17ED3"/>
    <w:rsid w:val="00E354D8"/>
    <w:rsid w:val="00E35FE8"/>
    <w:rsid w:val="00E5791C"/>
    <w:rsid w:val="00E700A3"/>
    <w:rsid w:val="00E86390"/>
    <w:rsid w:val="00E95180"/>
    <w:rsid w:val="00EB2DD7"/>
    <w:rsid w:val="00EE3BE9"/>
    <w:rsid w:val="00EF1672"/>
    <w:rsid w:val="00EF23F3"/>
    <w:rsid w:val="00EF7241"/>
    <w:rsid w:val="00EF769C"/>
    <w:rsid w:val="00F124E0"/>
    <w:rsid w:val="00F164AF"/>
    <w:rsid w:val="00F228EA"/>
    <w:rsid w:val="00F55316"/>
    <w:rsid w:val="00F71541"/>
    <w:rsid w:val="00F72683"/>
    <w:rsid w:val="00F9093E"/>
    <w:rsid w:val="00F922F0"/>
    <w:rsid w:val="00FA0D3D"/>
    <w:rsid w:val="00FB4285"/>
    <w:rsid w:val="00FB72E2"/>
    <w:rsid w:val="00FC0279"/>
    <w:rsid w:val="00FC3CF1"/>
    <w:rsid w:val="00FC483C"/>
    <w:rsid w:val="00FC6C7D"/>
    <w:rsid w:val="00FD02B8"/>
    <w:rsid w:val="00FF180C"/>
    <w:rsid w:val="00FF3416"/>
    <w:rsid w:val="00FF7219"/>
    <w:rsid w:val="00FF7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58596F"/>
  <w15:chartTrackingRefBased/>
  <w15:docId w15:val="{F856B776-3A4D-49E8-8287-59BEBE56A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4875"/>
    <w:pPr>
      <w:widowControl w:val="0"/>
      <w:spacing w:before="180"/>
      <w:jc w:val="both"/>
    </w:pPr>
    <w:rPr>
      <w:rFonts w:ascii="Verdana" w:hAnsi="Verdana"/>
      <w:sz w:val="1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G-para5">
    <w:name w:val="LG-para5"/>
    <w:basedOn w:val="Normal"/>
    <w:autoRedefine/>
    <w:pPr>
      <w:spacing w:before="1"/>
      <w:ind w:firstLine="147"/>
    </w:pPr>
    <w:rPr>
      <w:rFonts w:ascii="Arial" w:hAnsi="Arial" w:cs="Arial"/>
      <w:sz w:val="12"/>
      <w:szCs w:val="12"/>
    </w:rPr>
  </w:style>
  <w:style w:type="paragraph" w:customStyle="1" w:styleId="LG-amendpara3-lga">
    <w:name w:val="LG-amendpara3-lg(a)"/>
    <w:basedOn w:val="Normal"/>
    <w:pPr>
      <w:spacing w:before="80"/>
      <w:ind w:left="567" w:firstLine="170"/>
    </w:pPr>
    <w:rPr>
      <w:rFonts w:ascii="Arial" w:hAnsi="Arial" w:cs="Arial"/>
      <w:sz w:val="12"/>
      <w:szCs w:val="12"/>
    </w:rPr>
  </w:style>
  <w:style w:type="paragraph" w:customStyle="1" w:styleId="a-000">
    <w:name w:val="(a)-0.00"/>
    <w:basedOn w:val="Normal"/>
    <w:link w:val="a-000Char"/>
    <w:rsid w:val="00D44875"/>
    <w:pPr>
      <w:tabs>
        <w:tab w:val="left" w:pos="794"/>
        <w:tab w:val="left" w:pos="1304"/>
      </w:tabs>
      <w:ind w:left="1304" w:hanging="1304"/>
    </w:pPr>
  </w:style>
  <w:style w:type="paragraph" w:customStyle="1" w:styleId="000">
    <w:name w:val="0.00"/>
    <w:basedOn w:val="Normal"/>
    <w:rsid w:val="00D44875"/>
    <w:pPr>
      <w:tabs>
        <w:tab w:val="left" w:pos="794"/>
      </w:tabs>
      <w:ind w:left="794" w:hanging="794"/>
    </w:pPr>
  </w:style>
  <w:style w:type="paragraph" w:customStyle="1" w:styleId="head1">
    <w:name w:val="head1"/>
    <w:basedOn w:val="Normal"/>
    <w:rsid w:val="00D44875"/>
    <w:pPr>
      <w:spacing w:before="360"/>
      <w:jc w:val="left"/>
    </w:pPr>
    <w:rPr>
      <w:b/>
    </w:rPr>
  </w:style>
  <w:style w:type="paragraph" w:customStyle="1" w:styleId="tabletext">
    <w:name w:val="tabletext"/>
    <w:basedOn w:val="Normal"/>
    <w:rsid w:val="00D44875"/>
    <w:pPr>
      <w:spacing w:before="0"/>
      <w:jc w:val="left"/>
    </w:pPr>
    <w:rPr>
      <w:sz w:val="16"/>
    </w:rPr>
  </w:style>
  <w:style w:type="paragraph" w:customStyle="1" w:styleId="head2">
    <w:name w:val="head2"/>
    <w:basedOn w:val="Normal"/>
    <w:rsid w:val="00D44875"/>
    <w:pPr>
      <w:spacing w:before="300"/>
      <w:jc w:val="left"/>
    </w:pPr>
    <w:rPr>
      <w:b/>
    </w:rPr>
  </w:style>
  <w:style w:type="paragraph" w:customStyle="1" w:styleId="quote-000">
    <w:name w:val="quote-0.00"/>
    <w:basedOn w:val="Normal"/>
    <w:rsid w:val="00D44875"/>
    <w:pPr>
      <w:spacing w:before="40" w:after="40"/>
      <w:ind w:left="1418"/>
    </w:pPr>
    <w:rPr>
      <w:sz w:val="16"/>
    </w:rPr>
  </w:style>
  <w:style w:type="paragraph" w:customStyle="1" w:styleId="a-">
    <w:name w:val="(a)-"/>
    <w:basedOn w:val="Normal"/>
    <w:rsid w:val="00D44875"/>
    <w:pPr>
      <w:tabs>
        <w:tab w:val="left" w:pos="510"/>
      </w:tabs>
      <w:ind w:left="510" w:hanging="510"/>
    </w:pPr>
  </w:style>
  <w:style w:type="paragraph" w:customStyle="1" w:styleId="a-0000">
    <w:name w:val="(a)-00.00"/>
    <w:basedOn w:val="Normal"/>
    <w:rsid w:val="00D44875"/>
    <w:pPr>
      <w:tabs>
        <w:tab w:val="left" w:pos="794"/>
        <w:tab w:val="left" w:pos="1304"/>
      </w:tabs>
      <w:ind w:left="1304" w:hanging="1304"/>
    </w:pPr>
  </w:style>
  <w:style w:type="paragraph" w:customStyle="1" w:styleId="i-000a">
    <w:name w:val="(i)-0.00(a)"/>
    <w:basedOn w:val="Normal"/>
    <w:rsid w:val="00D44875"/>
    <w:pPr>
      <w:tabs>
        <w:tab w:val="right" w:pos="1758"/>
        <w:tab w:val="left" w:pos="1928"/>
      </w:tabs>
      <w:ind w:left="1928" w:hanging="1928"/>
    </w:pPr>
  </w:style>
  <w:style w:type="paragraph" w:customStyle="1" w:styleId="i-0000a">
    <w:name w:val="(i)-00.00(a)"/>
    <w:basedOn w:val="Normal"/>
    <w:rsid w:val="00D44875"/>
    <w:pPr>
      <w:tabs>
        <w:tab w:val="right" w:pos="1701"/>
        <w:tab w:val="left" w:pos="1814"/>
      </w:tabs>
      <w:ind w:left="1814" w:hanging="1814"/>
    </w:pPr>
  </w:style>
  <w:style w:type="paragraph" w:customStyle="1" w:styleId="0000">
    <w:name w:val="00.00"/>
    <w:basedOn w:val="Normal"/>
    <w:rsid w:val="00D44875"/>
    <w:pPr>
      <w:tabs>
        <w:tab w:val="left" w:pos="794"/>
      </w:tabs>
      <w:ind w:left="794" w:hanging="794"/>
    </w:pPr>
  </w:style>
  <w:style w:type="paragraph" w:customStyle="1" w:styleId="bullet-0000ai">
    <w:name w:val="bullet-00.00(a)(i)"/>
    <w:basedOn w:val="Normal"/>
    <w:pPr>
      <w:tabs>
        <w:tab w:val="left" w:pos="1361"/>
        <w:tab w:val="left" w:pos="1588"/>
      </w:tabs>
      <w:ind w:left="1588" w:hanging="1588"/>
    </w:pPr>
  </w:style>
  <w:style w:type="paragraph" w:customStyle="1" w:styleId="level5">
    <w:name w:val="level5"/>
    <w:basedOn w:val="Normal"/>
    <w:rsid w:val="00D44875"/>
    <w:pPr>
      <w:tabs>
        <w:tab w:val="right" w:leader="dot" w:pos="7938"/>
      </w:tabs>
      <w:spacing w:before="0"/>
      <w:ind w:left="1985" w:hanging="567"/>
    </w:pPr>
    <w:rPr>
      <w:sz w:val="16"/>
    </w:rPr>
  </w:style>
  <w:style w:type="paragraph" w:customStyle="1" w:styleId="level6">
    <w:name w:val="level6"/>
    <w:basedOn w:val="Normal"/>
    <w:pPr>
      <w:spacing w:before="0"/>
      <w:ind w:left="1332" w:hanging="198"/>
    </w:pPr>
  </w:style>
  <w:style w:type="paragraph" w:customStyle="1" w:styleId="head3">
    <w:name w:val="head3"/>
    <w:basedOn w:val="Normal"/>
    <w:rsid w:val="00D44875"/>
    <w:pPr>
      <w:spacing w:before="240"/>
      <w:jc w:val="left"/>
    </w:pPr>
    <w:rPr>
      <w:b/>
      <w:i/>
    </w:rPr>
  </w:style>
  <w:style w:type="paragraph" w:customStyle="1" w:styleId="head4">
    <w:name w:val="head4"/>
    <w:basedOn w:val="Normal"/>
    <w:pPr>
      <w:spacing w:before="120"/>
      <w:jc w:val="left"/>
    </w:pPr>
    <w:rPr>
      <w:i/>
    </w:rPr>
  </w:style>
  <w:style w:type="paragraph" w:customStyle="1" w:styleId="000aiaa">
    <w:name w:val="0.00(a)(i)(aa)"/>
    <w:basedOn w:val="Normal"/>
    <w:rsid w:val="00D44875"/>
    <w:pPr>
      <w:tabs>
        <w:tab w:val="left" w:pos="1928"/>
        <w:tab w:val="left" w:pos="2438"/>
      </w:tabs>
      <w:ind w:left="2438" w:hanging="2438"/>
    </w:pPr>
  </w:style>
  <w:style w:type="paragraph" w:customStyle="1" w:styleId="0000-bullet">
    <w:name w:val="00.00-bullet"/>
    <w:basedOn w:val="Normal"/>
    <w:pPr>
      <w:tabs>
        <w:tab w:val="left" w:pos="567"/>
        <w:tab w:val="left" w:pos="794"/>
      </w:tabs>
      <w:ind w:left="794" w:hanging="794"/>
    </w:pPr>
  </w:style>
  <w:style w:type="paragraph" w:customStyle="1" w:styleId="i-hang">
    <w:name w:val="(i)-hang"/>
    <w:basedOn w:val="Normal"/>
    <w:rsid w:val="00D44875"/>
    <w:pPr>
      <w:tabs>
        <w:tab w:val="right" w:pos="567"/>
        <w:tab w:val="left" w:pos="737"/>
      </w:tabs>
      <w:ind w:left="737" w:hanging="737"/>
    </w:pPr>
  </w:style>
  <w:style w:type="paragraph" w:customStyle="1" w:styleId="1A1">
    <w:name w:val="1.A.1"/>
    <w:basedOn w:val="Normal"/>
    <w:rsid w:val="00D44875"/>
    <w:pPr>
      <w:tabs>
        <w:tab w:val="left" w:pos="851"/>
      </w:tabs>
      <w:ind w:left="851" w:hanging="851"/>
    </w:pPr>
  </w:style>
  <w:style w:type="paragraph" w:customStyle="1" w:styleId="a-1A1">
    <w:name w:val="(a)-1.A.1"/>
    <w:basedOn w:val="Normal"/>
    <w:rsid w:val="00D44875"/>
    <w:pPr>
      <w:tabs>
        <w:tab w:val="left" w:pos="851"/>
        <w:tab w:val="left" w:pos="1361"/>
      </w:tabs>
      <w:ind w:left="1361" w:hanging="1361"/>
    </w:pPr>
  </w:style>
  <w:style w:type="paragraph" w:customStyle="1" w:styleId="i-1A1a">
    <w:name w:val="(i)-1.A.1(a)"/>
    <w:basedOn w:val="Normal"/>
    <w:rsid w:val="00D44875"/>
    <w:pPr>
      <w:tabs>
        <w:tab w:val="right" w:pos="1758"/>
        <w:tab w:val="left" w:pos="1928"/>
      </w:tabs>
      <w:ind w:left="1928" w:hanging="1928"/>
    </w:pPr>
  </w:style>
  <w:style w:type="paragraph" w:customStyle="1" w:styleId="000-111">
    <w:name w:val="0.00-1.1.1"/>
    <w:basedOn w:val="Normal"/>
    <w:pPr>
      <w:tabs>
        <w:tab w:val="left" w:pos="510"/>
        <w:tab w:val="left" w:pos="1191"/>
      </w:tabs>
      <w:spacing w:before="80"/>
      <w:ind w:left="1191" w:hanging="1191"/>
    </w:pPr>
    <w:rPr>
      <w:lang w:val="en-US"/>
    </w:rPr>
  </w:style>
  <w:style w:type="paragraph" w:customStyle="1" w:styleId="i-ahang">
    <w:name w:val="(i)-(a)hang"/>
    <w:basedOn w:val="Normal"/>
    <w:rsid w:val="00D44875"/>
    <w:pPr>
      <w:widowControl/>
      <w:tabs>
        <w:tab w:val="left" w:pos="737"/>
        <w:tab w:val="left" w:pos="1247"/>
      </w:tabs>
      <w:ind w:left="1247" w:hanging="1247"/>
    </w:pPr>
  </w:style>
  <w:style w:type="paragraph" w:customStyle="1" w:styleId="0000-0000">
    <w:name w:val="00.00-00.0.0"/>
    <w:basedOn w:val="Normal"/>
    <w:pPr>
      <w:tabs>
        <w:tab w:val="left" w:pos="567"/>
        <w:tab w:val="left" w:pos="1304"/>
      </w:tabs>
      <w:spacing w:before="80"/>
      <w:ind w:left="1304" w:hanging="1304"/>
    </w:pPr>
  </w:style>
  <w:style w:type="paragraph" w:customStyle="1" w:styleId="0000-00000">
    <w:name w:val="00.00-00.0.0.0"/>
    <w:basedOn w:val="Normal"/>
    <w:pPr>
      <w:tabs>
        <w:tab w:val="left" w:pos="1304"/>
        <w:tab w:val="left" w:pos="2155"/>
      </w:tabs>
      <w:spacing w:before="80"/>
      <w:ind w:left="2155" w:hanging="2155"/>
    </w:pPr>
  </w:style>
  <w:style w:type="paragraph" w:customStyle="1" w:styleId="000-111-a">
    <w:name w:val="0.00-1.1.1-(a)"/>
    <w:basedOn w:val="Normal"/>
    <w:pPr>
      <w:tabs>
        <w:tab w:val="left" w:pos="1191"/>
        <w:tab w:val="left" w:pos="1531"/>
      </w:tabs>
      <w:spacing w:before="80"/>
      <w:ind w:left="1531" w:hanging="1531"/>
    </w:pPr>
    <w:rPr>
      <w:lang w:val="en-US"/>
    </w:rPr>
  </w:style>
  <w:style w:type="paragraph" w:customStyle="1" w:styleId="0000-0000-a">
    <w:name w:val="00.00-00.0.0-(a)"/>
    <w:basedOn w:val="Normal"/>
    <w:pPr>
      <w:tabs>
        <w:tab w:val="left" w:pos="1304"/>
        <w:tab w:val="left" w:pos="1644"/>
      </w:tabs>
      <w:spacing w:before="80"/>
      <w:ind w:left="1644" w:hanging="1644"/>
    </w:pPr>
  </w:style>
  <w:style w:type="paragraph" w:customStyle="1" w:styleId="parafullout">
    <w:name w:val="parafullout"/>
    <w:basedOn w:val="Normal"/>
    <w:rsid w:val="00D44875"/>
  </w:style>
  <w:style w:type="paragraph" w:customStyle="1" w:styleId="cont-head">
    <w:name w:val="cont-head"/>
    <w:basedOn w:val="Normal"/>
    <w:pPr>
      <w:tabs>
        <w:tab w:val="left" w:pos="1021"/>
      </w:tabs>
      <w:spacing w:before="120"/>
      <w:ind w:left="1021" w:hanging="1021"/>
      <w:jc w:val="left"/>
    </w:pPr>
    <w:rPr>
      <w:rFonts w:ascii="Helvetica" w:hAnsi="Helvetica"/>
    </w:rPr>
  </w:style>
  <w:style w:type="paragraph" w:customStyle="1" w:styleId="cont-11">
    <w:name w:val="cont-1.1"/>
    <w:basedOn w:val="Normal"/>
    <w:pPr>
      <w:tabs>
        <w:tab w:val="left" w:pos="1021"/>
        <w:tab w:val="left" w:pos="1588"/>
        <w:tab w:val="right" w:leader="dot" w:pos="5783"/>
        <w:tab w:val="left" w:pos="6010"/>
      </w:tabs>
      <w:suppressAutoHyphens/>
      <w:spacing w:before="20"/>
      <w:ind w:left="1588" w:hanging="1588"/>
      <w:jc w:val="left"/>
    </w:pPr>
  </w:style>
  <w:style w:type="paragraph" w:customStyle="1" w:styleId="cont-sched">
    <w:name w:val="cont-sched"/>
    <w:basedOn w:val="Normal"/>
    <w:rsid w:val="00D44875"/>
    <w:pPr>
      <w:tabs>
        <w:tab w:val="left" w:pos="567"/>
      </w:tabs>
      <w:ind w:left="567" w:hanging="567"/>
      <w:jc w:val="left"/>
    </w:pPr>
  </w:style>
  <w:style w:type="paragraph" w:customStyle="1" w:styleId="bullet">
    <w:name w:val="bullet"/>
    <w:basedOn w:val="Normal"/>
    <w:rsid w:val="00D44875"/>
    <w:pPr>
      <w:widowControl/>
      <w:tabs>
        <w:tab w:val="left" w:pos="510"/>
      </w:tabs>
      <w:spacing w:before="60"/>
      <w:ind w:left="510" w:hanging="510"/>
    </w:pPr>
  </w:style>
  <w:style w:type="paragraph" w:customStyle="1" w:styleId="content-11">
    <w:name w:val="content-1.1"/>
    <w:basedOn w:val="Normal"/>
    <w:pPr>
      <w:tabs>
        <w:tab w:val="left" w:pos="567"/>
        <w:tab w:val="right" w:leader="dot" w:pos="6521"/>
      </w:tabs>
      <w:suppressAutoHyphens/>
      <w:spacing w:before="60"/>
      <w:ind w:left="567" w:hanging="567"/>
      <w:jc w:val="left"/>
    </w:pPr>
  </w:style>
  <w:style w:type="paragraph" w:customStyle="1" w:styleId="footnotes">
    <w:name w:val="footnotes"/>
    <w:basedOn w:val="Normal"/>
    <w:rsid w:val="00D44875"/>
    <w:pPr>
      <w:widowControl/>
      <w:tabs>
        <w:tab w:val="left" w:pos="340"/>
      </w:tabs>
      <w:spacing w:before="0"/>
      <w:ind w:left="340" w:hanging="340"/>
    </w:pPr>
    <w:rPr>
      <w:sz w:val="16"/>
    </w:rPr>
  </w:style>
  <w:style w:type="paragraph" w:customStyle="1" w:styleId="000ai1">
    <w:name w:val="0.00(a)(i)(1)"/>
    <w:basedOn w:val="Normal"/>
    <w:rsid w:val="00D44875"/>
    <w:pPr>
      <w:widowControl/>
      <w:tabs>
        <w:tab w:val="left" w:pos="1928"/>
        <w:tab w:val="left" w:pos="2438"/>
      </w:tabs>
      <w:ind w:left="2438" w:hanging="2438"/>
    </w:pPr>
  </w:style>
  <w:style w:type="paragraph" w:customStyle="1" w:styleId="000ai1aa">
    <w:name w:val="0.00(a)(i)(1)(aa)"/>
    <w:basedOn w:val="Normal"/>
    <w:rsid w:val="00D44875"/>
    <w:pPr>
      <w:widowControl/>
      <w:tabs>
        <w:tab w:val="left" w:pos="2438"/>
        <w:tab w:val="left" w:pos="3005"/>
      </w:tabs>
      <w:ind w:left="3005" w:hanging="3005"/>
    </w:pPr>
  </w:style>
  <w:style w:type="paragraph" w:customStyle="1" w:styleId="000-aisl">
    <w:name w:val="0.00-(a)(i)sl"/>
    <w:basedOn w:val="Normal"/>
    <w:rsid w:val="00D44875"/>
    <w:pPr>
      <w:widowControl/>
      <w:tabs>
        <w:tab w:val="left" w:pos="794"/>
        <w:tab w:val="right" w:pos="1758"/>
        <w:tab w:val="left" w:pos="1928"/>
      </w:tabs>
      <w:ind w:left="1928" w:hanging="1928"/>
    </w:pPr>
  </w:style>
  <w:style w:type="paragraph" w:customStyle="1" w:styleId="1-1A1ai">
    <w:name w:val="(1)-1.A.1(a)(i)"/>
    <w:basedOn w:val="Normal"/>
    <w:pPr>
      <w:tabs>
        <w:tab w:val="left" w:pos="1474"/>
        <w:tab w:val="left" w:pos="1814"/>
      </w:tabs>
      <w:ind w:left="1814" w:hanging="1814"/>
    </w:pPr>
  </w:style>
  <w:style w:type="paragraph" w:customStyle="1" w:styleId="ai1-0000">
    <w:name w:val="(a)(i)(1)-00.00"/>
    <w:basedOn w:val="Normal"/>
    <w:pPr>
      <w:tabs>
        <w:tab w:val="left" w:pos="1361"/>
        <w:tab w:val="left" w:pos="1701"/>
      </w:tabs>
      <w:ind w:left="1701" w:hanging="1701"/>
    </w:pPr>
  </w:style>
  <w:style w:type="paragraph" w:customStyle="1" w:styleId="tabletext-9pt">
    <w:name w:val="tabletext-9pt"/>
    <w:basedOn w:val="Normal"/>
  </w:style>
  <w:style w:type="paragraph" w:customStyle="1" w:styleId="bullet-000a">
    <w:name w:val="bullet-0.00(a)"/>
    <w:basedOn w:val="Normal"/>
    <w:rsid w:val="00D44875"/>
    <w:pPr>
      <w:tabs>
        <w:tab w:val="left" w:pos="1304"/>
        <w:tab w:val="left" w:pos="1644"/>
      </w:tabs>
      <w:ind w:left="1644" w:hanging="1644"/>
    </w:pPr>
  </w:style>
  <w:style w:type="paragraph" w:customStyle="1" w:styleId="ind-boldhead">
    <w:name w:val="ind-boldhead"/>
    <w:basedOn w:val="Normal"/>
    <w:pPr>
      <w:tabs>
        <w:tab w:val="right" w:leader="dot" w:pos="6521"/>
      </w:tabs>
      <w:spacing w:before="240" w:line="180" w:lineRule="exact"/>
      <w:jc w:val="center"/>
    </w:pPr>
    <w:rPr>
      <w:rFonts w:ascii="Helvetica" w:hAnsi="Helvetica"/>
      <w:b/>
      <w:sz w:val="16"/>
    </w:rPr>
  </w:style>
  <w:style w:type="paragraph" w:customStyle="1" w:styleId="ind-level1">
    <w:name w:val="ind-level1"/>
    <w:basedOn w:val="Normal"/>
    <w:pPr>
      <w:tabs>
        <w:tab w:val="right" w:leader="dot" w:pos="6521"/>
      </w:tabs>
      <w:suppressAutoHyphens/>
      <w:spacing w:before="80" w:line="180" w:lineRule="exact"/>
      <w:jc w:val="left"/>
    </w:pPr>
    <w:rPr>
      <w:sz w:val="16"/>
    </w:rPr>
  </w:style>
  <w:style w:type="paragraph" w:customStyle="1" w:styleId="ind-level2">
    <w:name w:val="ind-level2"/>
    <w:basedOn w:val="Normal"/>
    <w:pPr>
      <w:tabs>
        <w:tab w:val="right" w:leader="dot" w:pos="6521"/>
      </w:tabs>
      <w:suppressAutoHyphens/>
      <w:spacing w:before="0" w:line="180" w:lineRule="exact"/>
      <w:ind w:left="170"/>
      <w:jc w:val="left"/>
    </w:pPr>
    <w:rPr>
      <w:sz w:val="16"/>
    </w:rPr>
  </w:style>
  <w:style w:type="paragraph" w:customStyle="1" w:styleId="ind-level3">
    <w:name w:val="ind-level3"/>
    <w:basedOn w:val="Normal"/>
    <w:pPr>
      <w:tabs>
        <w:tab w:val="right" w:leader="dot" w:pos="6521"/>
      </w:tabs>
      <w:suppressAutoHyphens/>
      <w:spacing w:before="0" w:line="180" w:lineRule="exact"/>
      <w:ind w:left="340"/>
      <w:jc w:val="left"/>
    </w:pPr>
    <w:rPr>
      <w:sz w:val="16"/>
    </w:rPr>
  </w:style>
  <w:style w:type="paragraph" w:customStyle="1" w:styleId="ind-level4">
    <w:name w:val="ind-level4"/>
    <w:basedOn w:val="Normal"/>
    <w:pPr>
      <w:tabs>
        <w:tab w:val="right" w:leader="dot" w:pos="6521"/>
      </w:tabs>
      <w:suppressAutoHyphens/>
      <w:spacing w:before="0" w:line="180" w:lineRule="exact"/>
      <w:ind w:left="510"/>
      <w:jc w:val="left"/>
    </w:pPr>
    <w:rPr>
      <w:sz w:val="16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pPr>
      <w:spacing w:before="0" w:line="170" w:lineRule="exact"/>
    </w:pPr>
    <w:rPr>
      <w:sz w:val="15"/>
    </w:rPr>
  </w:style>
  <w:style w:type="character" w:styleId="FootnoteReference">
    <w:name w:val="footnote reference"/>
    <w:semiHidden/>
    <w:rPr>
      <w:vertAlign w:val="superscript"/>
    </w:rPr>
  </w:style>
  <w:style w:type="paragraph" w:styleId="BalloonText">
    <w:name w:val="Balloon Text"/>
    <w:basedOn w:val="Normal"/>
    <w:semiHidden/>
    <w:rPr>
      <w:rFonts w:ascii="Tahoma" w:hAnsi="Tahoma" w:cs="Helvetica"/>
      <w:sz w:val="16"/>
      <w:szCs w:val="16"/>
    </w:rPr>
  </w:style>
  <w:style w:type="paragraph" w:customStyle="1" w:styleId="contents">
    <w:name w:val="contents"/>
    <w:basedOn w:val="Normal"/>
    <w:rsid w:val="00D44875"/>
    <w:pPr>
      <w:tabs>
        <w:tab w:val="left" w:pos="851"/>
      </w:tabs>
      <w:ind w:left="851" w:hanging="851"/>
    </w:pPr>
  </w:style>
  <w:style w:type="paragraph" w:customStyle="1" w:styleId="1-000ai">
    <w:name w:val="(1)-0.00(a)(i)"/>
    <w:basedOn w:val="Normal"/>
    <w:rsid w:val="00D44875"/>
    <w:pPr>
      <w:tabs>
        <w:tab w:val="left" w:pos="1928"/>
        <w:tab w:val="left" w:pos="2438"/>
      </w:tabs>
      <w:ind w:left="2438" w:hanging="2438"/>
    </w:pPr>
  </w:style>
  <w:style w:type="paragraph" w:customStyle="1" w:styleId="1-000a">
    <w:name w:val="(1)-0.00(a)"/>
    <w:basedOn w:val="Normal"/>
    <w:rsid w:val="00D44875"/>
    <w:pPr>
      <w:tabs>
        <w:tab w:val="left" w:pos="1304"/>
        <w:tab w:val="left" w:pos="1871"/>
        <w:tab w:val="left" w:pos="2268"/>
      </w:tabs>
      <w:ind w:left="1871" w:hanging="1871"/>
    </w:pPr>
  </w:style>
  <w:style w:type="paragraph" w:customStyle="1" w:styleId="footnotes-a">
    <w:name w:val="footnotes-(a)"/>
    <w:basedOn w:val="Normal"/>
    <w:pPr>
      <w:tabs>
        <w:tab w:val="left" w:pos="369"/>
        <w:tab w:val="left" w:pos="737"/>
      </w:tabs>
      <w:spacing w:line="200" w:lineRule="exact"/>
      <w:ind w:left="737" w:hanging="737"/>
    </w:pPr>
    <w:rPr>
      <w:rFonts w:ascii="Book Antiqua" w:hAnsi="Book Antiqua"/>
      <w:sz w:val="17"/>
      <w:szCs w:val="17"/>
    </w:rPr>
  </w:style>
  <w:style w:type="paragraph" w:customStyle="1" w:styleId="footnotes000">
    <w:name w:val="footnotes000"/>
    <w:basedOn w:val="Normal"/>
    <w:pPr>
      <w:tabs>
        <w:tab w:val="right" w:pos="312"/>
        <w:tab w:val="left" w:pos="454"/>
      </w:tabs>
      <w:spacing w:line="200" w:lineRule="exact"/>
      <w:ind w:left="454" w:hanging="454"/>
    </w:pPr>
    <w:rPr>
      <w:rFonts w:ascii="Book Antiqua" w:hAnsi="Book Antiqua"/>
      <w:color w:val="000000"/>
      <w:sz w:val="17"/>
      <w:szCs w:val="17"/>
    </w:rPr>
  </w:style>
  <w:style w:type="paragraph" w:customStyle="1" w:styleId="footnotes000-1-sl">
    <w:name w:val="footnotes000-&quot;(1)-sl"/>
    <w:basedOn w:val="Normal"/>
    <w:pPr>
      <w:tabs>
        <w:tab w:val="right" w:pos="312"/>
        <w:tab w:val="left" w:pos="454"/>
        <w:tab w:val="left" w:pos="851"/>
      </w:tabs>
      <w:spacing w:line="200" w:lineRule="exact"/>
      <w:ind w:left="851" w:hanging="851"/>
    </w:pPr>
    <w:rPr>
      <w:rFonts w:ascii="Book Antiqua" w:hAnsi="Book Antiqua"/>
      <w:sz w:val="17"/>
      <w:szCs w:val="17"/>
    </w:rPr>
  </w:style>
  <w:style w:type="paragraph" w:customStyle="1" w:styleId="footnotes000-1">
    <w:name w:val="footnotes000-(1)"/>
    <w:basedOn w:val="Normal"/>
    <w:pPr>
      <w:tabs>
        <w:tab w:val="left" w:pos="454"/>
        <w:tab w:val="left" w:pos="851"/>
      </w:tabs>
      <w:spacing w:line="200" w:lineRule="exact"/>
      <w:ind w:left="851" w:hanging="851"/>
    </w:pPr>
    <w:rPr>
      <w:rFonts w:ascii="Book Antiqua" w:hAnsi="Book Antiqua"/>
      <w:sz w:val="17"/>
      <w:szCs w:val="17"/>
    </w:rPr>
  </w:style>
  <w:style w:type="paragraph" w:customStyle="1" w:styleId="footnotes000-1-a">
    <w:name w:val="footnotes000-(1)-(a)"/>
    <w:basedOn w:val="Normal"/>
    <w:pPr>
      <w:tabs>
        <w:tab w:val="left" w:pos="851"/>
        <w:tab w:val="left" w:pos="1191"/>
      </w:tabs>
      <w:spacing w:line="200" w:lineRule="exact"/>
      <w:ind w:left="1191" w:hanging="1191"/>
    </w:pPr>
    <w:rPr>
      <w:rFonts w:ascii="Book Antiqua" w:hAnsi="Book Antiqua"/>
      <w:sz w:val="17"/>
      <w:szCs w:val="17"/>
    </w:rPr>
  </w:style>
  <w:style w:type="paragraph" w:customStyle="1" w:styleId="footnotes000-1-a-i">
    <w:name w:val="footnotes000-(1)-(a)-(i)"/>
    <w:basedOn w:val="Normal"/>
    <w:pPr>
      <w:tabs>
        <w:tab w:val="right" w:pos="1474"/>
        <w:tab w:val="left" w:pos="1588"/>
      </w:tabs>
      <w:spacing w:line="200" w:lineRule="exact"/>
      <w:ind w:left="1588" w:hanging="1588"/>
    </w:pPr>
    <w:rPr>
      <w:rFonts w:ascii="Book Antiqua" w:hAnsi="Book Antiqua"/>
      <w:sz w:val="17"/>
      <w:szCs w:val="17"/>
    </w:rPr>
  </w:style>
  <w:style w:type="paragraph" w:customStyle="1" w:styleId="footnotes000-1-a-sl">
    <w:name w:val="footnotes000-(1)-(a)-sl"/>
    <w:basedOn w:val="Normal"/>
    <w:pPr>
      <w:tabs>
        <w:tab w:val="left" w:pos="454"/>
        <w:tab w:val="left" w:pos="851"/>
        <w:tab w:val="left" w:pos="1191"/>
      </w:tabs>
      <w:spacing w:line="200" w:lineRule="exact"/>
      <w:ind w:left="1191" w:hanging="1191"/>
    </w:pPr>
    <w:rPr>
      <w:rFonts w:ascii="Book Antiqua" w:hAnsi="Book Antiqua"/>
      <w:sz w:val="17"/>
      <w:szCs w:val="17"/>
    </w:rPr>
  </w:style>
  <w:style w:type="paragraph" w:customStyle="1" w:styleId="footnotes000-a">
    <w:name w:val="footnotes000-(a)"/>
    <w:basedOn w:val="Normal"/>
    <w:pPr>
      <w:tabs>
        <w:tab w:val="left" w:pos="454"/>
        <w:tab w:val="left" w:pos="794"/>
      </w:tabs>
      <w:spacing w:line="200" w:lineRule="exact"/>
      <w:ind w:left="794" w:hanging="794"/>
    </w:pPr>
    <w:rPr>
      <w:rFonts w:ascii="Book Antiqua" w:hAnsi="Book Antiqua"/>
      <w:sz w:val="17"/>
      <w:szCs w:val="17"/>
    </w:rPr>
  </w:style>
  <w:style w:type="paragraph" w:customStyle="1" w:styleId="footnotes000-a-i">
    <w:name w:val="footnotes000-(a)-(i)"/>
    <w:basedOn w:val="Normal"/>
    <w:pPr>
      <w:tabs>
        <w:tab w:val="right" w:pos="1077"/>
        <w:tab w:val="left" w:pos="1191"/>
      </w:tabs>
      <w:spacing w:line="200" w:lineRule="exact"/>
      <w:ind w:left="1191" w:hanging="1191"/>
    </w:pPr>
    <w:rPr>
      <w:rFonts w:ascii="Book Antiqua" w:hAnsi="Book Antiqua"/>
      <w:sz w:val="17"/>
      <w:szCs w:val="17"/>
    </w:rPr>
  </w:style>
  <w:style w:type="paragraph" w:customStyle="1" w:styleId="0000-00000-sl">
    <w:name w:val="0.00.0-0.00.0.0-sl"/>
    <w:basedOn w:val="Normal"/>
    <w:pPr>
      <w:tabs>
        <w:tab w:val="left" w:pos="510"/>
        <w:tab w:val="left" w:pos="1134"/>
        <w:tab w:val="left" w:pos="1928"/>
      </w:tabs>
      <w:ind w:left="1928" w:hanging="1928"/>
    </w:pPr>
  </w:style>
  <w:style w:type="paragraph" w:customStyle="1" w:styleId="000000u00000">
    <w:name w:val="0.00.0.0.0u0.00.0.0"/>
    <w:basedOn w:val="Normal"/>
    <w:pPr>
      <w:tabs>
        <w:tab w:val="left" w:pos="1928"/>
        <w:tab w:val="left" w:pos="2835"/>
      </w:tabs>
      <w:spacing w:line="180" w:lineRule="exact"/>
      <w:ind w:left="2835" w:hanging="2835"/>
    </w:pPr>
    <w:rPr>
      <w:sz w:val="16"/>
    </w:rPr>
  </w:style>
  <w:style w:type="paragraph" w:customStyle="1" w:styleId="000-0000-sl">
    <w:name w:val="0.00-0.00.0-sl"/>
    <w:basedOn w:val="Normal"/>
    <w:pPr>
      <w:tabs>
        <w:tab w:val="left" w:pos="510"/>
        <w:tab w:val="left" w:pos="1134"/>
      </w:tabs>
      <w:ind w:left="1134" w:hanging="1134"/>
    </w:pPr>
  </w:style>
  <w:style w:type="paragraph" w:customStyle="1" w:styleId="0000u000">
    <w:name w:val="0.00.0u0.00"/>
    <w:basedOn w:val="Normal"/>
    <w:pPr>
      <w:tabs>
        <w:tab w:val="left" w:pos="510"/>
        <w:tab w:val="left" w:pos="1134"/>
      </w:tabs>
      <w:spacing w:line="180" w:lineRule="exact"/>
      <w:ind w:left="1134" w:hanging="1134"/>
    </w:pPr>
    <w:rPr>
      <w:sz w:val="16"/>
    </w:rPr>
  </w:style>
  <w:style w:type="paragraph" w:customStyle="1" w:styleId="00000u0000">
    <w:name w:val="0.00.0.0u0.00.0"/>
    <w:basedOn w:val="Normal"/>
    <w:pPr>
      <w:tabs>
        <w:tab w:val="left" w:pos="1134"/>
        <w:tab w:val="left" w:pos="1928"/>
      </w:tabs>
      <w:spacing w:line="180" w:lineRule="exact"/>
      <w:ind w:left="1928" w:hanging="1928"/>
    </w:pPr>
    <w:rPr>
      <w:sz w:val="16"/>
    </w:rPr>
  </w:style>
  <w:style w:type="paragraph" w:customStyle="1" w:styleId="00000">
    <w:name w:val="0.000"/>
    <w:basedOn w:val="Normal"/>
    <w:rsid w:val="00D44875"/>
    <w:pPr>
      <w:tabs>
        <w:tab w:val="left" w:pos="794"/>
      </w:tabs>
      <w:spacing w:before="80"/>
      <w:ind w:left="794" w:hanging="794"/>
    </w:pPr>
  </w:style>
  <w:style w:type="paragraph" w:customStyle="1" w:styleId="00000u00000">
    <w:name w:val="0.000.0u0.000"/>
    <w:basedOn w:val="Normal"/>
    <w:pPr>
      <w:tabs>
        <w:tab w:val="left" w:pos="567"/>
        <w:tab w:val="left" w:pos="1304"/>
      </w:tabs>
      <w:spacing w:line="180" w:lineRule="exact"/>
      <w:ind w:left="1304" w:hanging="1304"/>
    </w:pPr>
    <w:rPr>
      <w:sz w:val="16"/>
    </w:rPr>
  </w:style>
  <w:style w:type="paragraph" w:customStyle="1" w:styleId="000000u000000">
    <w:name w:val="0.000.0.0u0.000.0"/>
    <w:basedOn w:val="Normal"/>
    <w:pPr>
      <w:tabs>
        <w:tab w:val="left" w:pos="1304"/>
        <w:tab w:val="left" w:pos="2211"/>
      </w:tabs>
      <w:spacing w:line="180" w:lineRule="exact"/>
      <w:ind w:left="2211" w:hanging="2211"/>
    </w:pPr>
    <w:rPr>
      <w:sz w:val="16"/>
    </w:rPr>
  </w:style>
  <w:style w:type="paragraph" w:customStyle="1" w:styleId="000000u0000">
    <w:name w:val="0.000.00u0.000"/>
    <w:basedOn w:val="Normal"/>
    <w:pPr>
      <w:tabs>
        <w:tab w:val="left" w:pos="567"/>
        <w:tab w:val="left" w:pos="1418"/>
      </w:tabs>
      <w:spacing w:line="180" w:lineRule="exact"/>
      <w:ind w:left="1418" w:hanging="1418"/>
    </w:pPr>
    <w:rPr>
      <w:sz w:val="16"/>
    </w:rPr>
  </w:style>
  <w:style w:type="paragraph" w:customStyle="1" w:styleId="0000-00000-sl0">
    <w:name w:val="0.000-0.000.0-sl"/>
    <w:basedOn w:val="Normal"/>
    <w:pPr>
      <w:tabs>
        <w:tab w:val="left" w:pos="567"/>
        <w:tab w:val="left" w:pos="1304"/>
      </w:tabs>
      <w:ind w:left="1304" w:hanging="1304"/>
    </w:pPr>
  </w:style>
  <w:style w:type="paragraph" w:customStyle="1" w:styleId="0000000u000000">
    <w:name w:val="0.000.0.0.0u0.000.0.0"/>
    <w:basedOn w:val="Normal"/>
    <w:pPr>
      <w:tabs>
        <w:tab w:val="left" w:pos="2211"/>
        <w:tab w:val="left" w:pos="3289"/>
      </w:tabs>
      <w:spacing w:line="180" w:lineRule="exact"/>
      <w:ind w:left="3289" w:hanging="3289"/>
    </w:pPr>
    <w:rPr>
      <w:sz w:val="16"/>
    </w:rPr>
  </w:style>
  <w:style w:type="paragraph" w:customStyle="1" w:styleId="00000000u0000000">
    <w:name w:val="0.000.0.0.0.0u0.000.0.0.0"/>
    <w:basedOn w:val="Normal"/>
    <w:pPr>
      <w:tabs>
        <w:tab w:val="left" w:pos="3289"/>
        <w:tab w:val="left" w:pos="4423"/>
      </w:tabs>
      <w:ind w:left="4423" w:hanging="4423"/>
    </w:pPr>
  </w:style>
  <w:style w:type="paragraph" w:customStyle="1" w:styleId="paraa-000">
    <w:name w:val="para(a)-0.00"/>
    <w:basedOn w:val="Normal"/>
    <w:pPr>
      <w:tabs>
        <w:tab w:val="left" w:pos="510"/>
        <w:tab w:val="left" w:pos="907"/>
      </w:tabs>
      <w:ind w:left="907" w:hanging="907"/>
    </w:pPr>
  </w:style>
  <w:style w:type="paragraph" w:customStyle="1" w:styleId="0000000u0000000">
    <w:name w:val="0.00.0.0.0.0u0.00.0.0.0"/>
    <w:basedOn w:val="Normal"/>
    <w:pPr>
      <w:tabs>
        <w:tab w:val="left" w:pos="2835"/>
        <w:tab w:val="left" w:pos="3856"/>
      </w:tabs>
      <w:spacing w:line="180" w:lineRule="exact"/>
      <w:ind w:left="3856" w:hanging="3856"/>
    </w:pPr>
    <w:rPr>
      <w:sz w:val="16"/>
    </w:rPr>
  </w:style>
  <w:style w:type="paragraph" w:customStyle="1" w:styleId="00000-000000-sl">
    <w:name w:val="0.000.0-0.000.0.0-sl"/>
    <w:basedOn w:val="Normal"/>
    <w:pPr>
      <w:tabs>
        <w:tab w:val="left" w:pos="567"/>
        <w:tab w:val="left" w:pos="1304"/>
        <w:tab w:val="left" w:pos="2211"/>
      </w:tabs>
      <w:ind w:left="2211" w:hanging="2211"/>
    </w:pPr>
  </w:style>
  <w:style w:type="paragraph" w:customStyle="1" w:styleId="italichead">
    <w:name w:val="italichead"/>
    <w:basedOn w:val="Normal"/>
    <w:pPr>
      <w:keepNext/>
      <w:keepLines/>
      <w:suppressAutoHyphens/>
      <w:spacing w:before="240" w:after="20" w:line="220" w:lineRule="exact"/>
      <w:jc w:val="left"/>
    </w:pPr>
    <w:rPr>
      <w:rFonts w:ascii="Rockwell" w:hAnsi="Rockwell"/>
      <w:i/>
      <w:sz w:val="20"/>
    </w:rPr>
  </w:style>
  <w:style w:type="paragraph" w:customStyle="1" w:styleId="000-0000-00000-sl">
    <w:name w:val="0.00-0.00.0-0.00.0.0-sl"/>
    <w:basedOn w:val="Normal"/>
    <w:pPr>
      <w:tabs>
        <w:tab w:val="left" w:pos="510"/>
        <w:tab w:val="left" w:pos="1134"/>
        <w:tab w:val="left" w:pos="1928"/>
      </w:tabs>
      <w:ind w:left="1928" w:hanging="1928"/>
    </w:pPr>
  </w:style>
  <w:style w:type="paragraph" w:customStyle="1" w:styleId="00000-000000-sl0">
    <w:name w:val="0.00.0.0-0.00.0.0.0-sl"/>
    <w:basedOn w:val="Normal"/>
    <w:pPr>
      <w:tabs>
        <w:tab w:val="left" w:pos="1134"/>
        <w:tab w:val="left" w:pos="1928"/>
        <w:tab w:val="left" w:pos="2835"/>
      </w:tabs>
      <w:ind w:left="2835" w:hanging="2835"/>
    </w:pPr>
  </w:style>
  <w:style w:type="paragraph" w:customStyle="1" w:styleId="definition">
    <w:name w:val="definition"/>
    <w:basedOn w:val="Normal"/>
    <w:pPr>
      <w:spacing w:before="120"/>
      <w:ind w:left="284"/>
    </w:pPr>
  </w:style>
  <w:style w:type="paragraph" w:customStyle="1" w:styleId="LG-1a-sl">
    <w:name w:val="LG-(1)(a)-sl"/>
    <w:basedOn w:val="Normal"/>
    <w:pPr>
      <w:tabs>
        <w:tab w:val="left" w:pos="397"/>
        <w:tab w:val="left" w:pos="907"/>
        <w:tab w:val="left" w:pos="1304"/>
      </w:tabs>
      <w:spacing w:line="180" w:lineRule="exact"/>
      <w:ind w:left="1304" w:hanging="1304"/>
    </w:pPr>
    <w:rPr>
      <w:sz w:val="16"/>
    </w:rPr>
  </w:style>
  <w:style w:type="paragraph" w:customStyle="1" w:styleId="LG-a">
    <w:name w:val="LG-(a)"/>
    <w:basedOn w:val="Normal"/>
    <w:pPr>
      <w:tabs>
        <w:tab w:val="left" w:pos="907"/>
        <w:tab w:val="left" w:pos="1304"/>
      </w:tabs>
      <w:spacing w:line="180" w:lineRule="exact"/>
      <w:ind w:left="1304" w:hanging="1304"/>
    </w:pPr>
    <w:rPr>
      <w:sz w:val="16"/>
    </w:rPr>
  </w:style>
  <w:style w:type="paragraph" w:customStyle="1" w:styleId="LG-ai-sl">
    <w:name w:val="LG-(a)(i)-sl"/>
    <w:basedOn w:val="Normal"/>
    <w:pPr>
      <w:tabs>
        <w:tab w:val="left" w:pos="907"/>
        <w:tab w:val="right" w:pos="1588"/>
        <w:tab w:val="left" w:pos="1701"/>
      </w:tabs>
      <w:spacing w:line="180" w:lineRule="exact"/>
      <w:ind w:left="1701" w:hanging="1701"/>
    </w:pPr>
    <w:rPr>
      <w:sz w:val="16"/>
    </w:rPr>
  </w:style>
  <w:style w:type="paragraph" w:customStyle="1" w:styleId="LG-aa-i">
    <w:name w:val="LG-(aa)-(i)"/>
    <w:basedOn w:val="Normal"/>
    <w:pPr>
      <w:tabs>
        <w:tab w:val="left" w:pos="1701"/>
        <w:tab w:val="left" w:pos="2155"/>
      </w:tabs>
      <w:spacing w:line="180" w:lineRule="exact"/>
      <w:ind w:left="2155" w:hanging="2155"/>
    </w:pPr>
    <w:rPr>
      <w:sz w:val="16"/>
    </w:rPr>
  </w:style>
  <w:style w:type="paragraph" w:customStyle="1" w:styleId="LG-i">
    <w:name w:val="LG-(i)"/>
    <w:basedOn w:val="Normal"/>
    <w:pPr>
      <w:tabs>
        <w:tab w:val="right" w:pos="1191"/>
        <w:tab w:val="left" w:pos="1304"/>
      </w:tabs>
      <w:spacing w:line="180" w:lineRule="exact"/>
      <w:ind w:left="1304" w:hanging="1304"/>
    </w:pPr>
    <w:rPr>
      <w:sz w:val="16"/>
    </w:rPr>
  </w:style>
  <w:style w:type="paragraph" w:customStyle="1" w:styleId="LG-i-a">
    <w:name w:val="LG-(i)-(a)"/>
    <w:basedOn w:val="Normal"/>
    <w:pPr>
      <w:tabs>
        <w:tab w:val="right" w:pos="1588"/>
        <w:tab w:val="left" w:pos="1701"/>
      </w:tabs>
      <w:spacing w:line="180" w:lineRule="exact"/>
      <w:ind w:left="1701" w:hanging="1701"/>
    </w:pPr>
    <w:rPr>
      <w:sz w:val="16"/>
    </w:rPr>
  </w:style>
  <w:style w:type="paragraph" w:customStyle="1" w:styleId="LG-annotation2">
    <w:name w:val="LG-annotation2"/>
    <w:basedOn w:val="Normal"/>
    <w:pPr>
      <w:spacing w:before="40" w:line="160" w:lineRule="exact"/>
      <w:ind w:left="567" w:right="567" w:firstLine="159"/>
    </w:pPr>
    <w:rPr>
      <w:sz w:val="14"/>
    </w:rPr>
  </w:style>
  <w:style w:type="paragraph" w:customStyle="1" w:styleId="LG-caphead">
    <w:name w:val="LG-caphead"/>
    <w:basedOn w:val="Normal"/>
    <w:pPr>
      <w:keepNext/>
      <w:keepLines/>
      <w:suppressAutoHyphens/>
      <w:spacing w:before="240" w:line="180" w:lineRule="exact"/>
      <w:jc w:val="center"/>
    </w:pPr>
    <w:rPr>
      <w:sz w:val="16"/>
    </w:rPr>
  </w:style>
  <w:style w:type="paragraph" w:customStyle="1" w:styleId="LG-mainhead">
    <w:name w:val="LG-mainhead"/>
    <w:basedOn w:val="Normal"/>
    <w:pPr>
      <w:spacing w:before="240" w:line="260" w:lineRule="exact"/>
      <w:jc w:val="center"/>
    </w:pPr>
    <w:rPr>
      <w:rFonts w:ascii="Rockwell" w:hAnsi="Rockwell"/>
      <w:sz w:val="24"/>
    </w:rPr>
  </w:style>
  <w:style w:type="paragraph" w:customStyle="1" w:styleId="LG-normaltext">
    <w:name w:val="LG-normaltext"/>
    <w:basedOn w:val="Normal"/>
    <w:pPr>
      <w:spacing w:line="180" w:lineRule="exact"/>
    </w:pPr>
    <w:rPr>
      <w:sz w:val="16"/>
    </w:rPr>
  </w:style>
  <w:style w:type="paragraph" w:customStyle="1" w:styleId="LG-para1">
    <w:name w:val="LG-para(1)"/>
    <w:basedOn w:val="Normal"/>
    <w:pPr>
      <w:tabs>
        <w:tab w:val="left" w:pos="397"/>
        <w:tab w:val="left" w:pos="907"/>
      </w:tabs>
      <w:spacing w:line="180" w:lineRule="exact"/>
      <w:ind w:left="907" w:hanging="907"/>
    </w:pPr>
    <w:rPr>
      <w:sz w:val="16"/>
    </w:rPr>
  </w:style>
  <w:style w:type="paragraph" w:customStyle="1" w:styleId="LG-section">
    <w:name w:val="LG-section"/>
    <w:basedOn w:val="Normal"/>
    <w:pPr>
      <w:tabs>
        <w:tab w:val="left" w:pos="397"/>
      </w:tabs>
      <w:spacing w:line="180" w:lineRule="exact"/>
      <w:ind w:left="397" w:hanging="397"/>
    </w:pPr>
    <w:rPr>
      <w:sz w:val="16"/>
    </w:rPr>
  </w:style>
  <w:style w:type="paragraph" w:customStyle="1" w:styleId="LG-section1a-sl">
    <w:name w:val="LG-section(1)(a)-sl"/>
    <w:basedOn w:val="Normal"/>
    <w:pPr>
      <w:tabs>
        <w:tab w:val="left" w:pos="397"/>
        <w:tab w:val="left" w:pos="907"/>
        <w:tab w:val="left" w:pos="1304"/>
      </w:tabs>
      <w:spacing w:line="180" w:lineRule="exact"/>
      <w:ind w:left="1304" w:hanging="1304"/>
    </w:pPr>
    <w:rPr>
      <w:sz w:val="16"/>
    </w:rPr>
  </w:style>
  <w:style w:type="paragraph" w:customStyle="1" w:styleId="LG-section-para1-sl">
    <w:name w:val="LG-section-para(1)-sl"/>
    <w:basedOn w:val="Normal"/>
    <w:pPr>
      <w:tabs>
        <w:tab w:val="left" w:pos="397"/>
        <w:tab w:val="left" w:pos="907"/>
      </w:tabs>
      <w:spacing w:line="180" w:lineRule="exact"/>
      <w:ind w:left="907" w:hanging="907"/>
    </w:pPr>
    <w:rPr>
      <w:sz w:val="16"/>
    </w:rPr>
  </w:style>
  <w:style w:type="paragraph" w:customStyle="1" w:styleId="LG-sectionhead">
    <w:name w:val="LG-sectionhead"/>
    <w:basedOn w:val="Normal"/>
    <w:pPr>
      <w:keepNext/>
      <w:keepLines/>
      <w:spacing w:line="180" w:lineRule="exact"/>
      <w:jc w:val="left"/>
    </w:pPr>
    <w:rPr>
      <w:rFonts w:ascii="Rockwell" w:hAnsi="Rockwell"/>
      <w:i/>
      <w:sz w:val="16"/>
    </w:rPr>
  </w:style>
  <w:style w:type="paragraph" w:customStyle="1" w:styleId="000000-0000000-sl">
    <w:name w:val="0.000.0.0-0.000.0.0.0-sl"/>
    <w:basedOn w:val="Normal"/>
    <w:pPr>
      <w:tabs>
        <w:tab w:val="left" w:pos="1304"/>
        <w:tab w:val="left" w:pos="2211"/>
        <w:tab w:val="left" w:pos="3289"/>
      </w:tabs>
      <w:ind w:left="3289" w:hanging="3289"/>
    </w:pPr>
  </w:style>
  <w:style w:type="paragraph" w:customStyle="1" w:styleId="0000-00000-000000-sl">
    <w:name w:val="0.000-0.000.0-0.000.0.0-sl"/>
    <w:basedOn w:val="Normal"/>
    <w:pPr>
      <w:tabs>
        <w:tab w:val="left" w:pos="567"/>
        <w:tab w:val="left" w:pos="1304"/>
        <w:tab w:val="left" w:pos="2211"/>
      </w:tabs>
      <w:ind w:left="2211" w:hanging="2211"/>
    </w:pPr>
  </w:style>
  <w:style w:type="paragraph" w:customStyle="1" w:styleId="0000000u00000">
    <w:name w:val="0.000.00.0u0.000.0"/>
    <w:basedOn w:val="Normal"/>
    <w:pPr>
      <w:tabs>
        <w:tab w:val="left" w:pos="1418"/>
        <w:tab w:val="left" w:pos="2325"/>
      </w:tabs>
      <w:spacing w:line="180" w:lineRule="exact"/>
      <w:ind w:left="2325" w:hanging="2325"/>
    </w:pPr>
    <w:rPr>
      <w:sz w:val="16"/>
    </w:rPr>
  </w:style>
  <w:style w:type="paragraph" w:customStyle="1" w:styleId="000000-0000000-sl0">
    <w:name w:val="0.000.00-0.000.00.0-sl"/>
    <w:basedOn w:val="Normal"/>
    <w:pPr>
      <w:tabs>
        <w:tab w:val="left" w:pos="567"/>
        <w:tab w:val="left" w:pos="1418"/>
        <w:tab w:val="left" w:pos="2325"/>
      </w:tabs>
      <w:ind w:left="2325" w:hanging="2325"/>
    </w:pPr>
  </w:style>
  <w:style w:type="paragraph" w:customStyle="1" w:styleId="00000000u000000">
    <w:name w:val="0.000.00.0.0u0.000.0.0"/>
    <w:basedOn w:val="Normal"/>
    <w:pPr>
      <w:tabs>
        <w:tab w:val="left" w:pos="2325"/>
        <w:tab w:val="left" w:pos="3402"/>
      </w:tabs>
      <w:spacing w:line="180" w:lineRule="exact"/>
      <w:ind w:left="3402" w:hanging="3402"/>
    </w:pPr>
    <w:rPr>
      <w:sz w:val="16"/>
    </w:rPr>
  </w:style>
  <w:style w:type="paragraph" w:customStyle="1" w:styleId="LG-iaa-a-sl">
    <w:name w:val="LG-(i)(aa)-(a)-sl"/>
    <w:basedOn w:val="Normal"/>
    <w:pPr>
      <w:tabs>
        <w:tab w:val="right" w:pos="1588"/>
        <w:tab w:val="left" w:pos="1701"/>
        <w:tab w:val="left" w:pos="2155"/>
      </w:tabs>
      <w:spacing w:line="180" w:lineRule="exact"/>
      <w:ind w:left="2155" w:hanging="2155"/>
    </w:pPr>
    <w:rPr>
      <w:sz w:val="16"/>
    </w:rPr>
  </w:style>
  <w:style w:type="paragraph" w:customStyle="1" w:styleId="LG-smallcaphead">
    <w:name w:val="LG-smallcaphead"/>
    <w:basedOn w:val="Normal"/>
    <w:pPr>
      <w:jc w:val="center"/>
    </w:pPr>
    <w:rPr>
      <w:sz w:val="16"/>
    </w:rPr>
  </w:style>
  <w:style w:type="paragraph" w:customStyle="1" w:styleId="LG-paraa-11">
    <w:name w:val="LG-para(a)-1.1"/>
    <w:basedOn w:val="Normal"/>
    <w:pPr>
      <w:tabs>
        <w:tab w:val="left" w:pos="397"/>
        <w:tab w:val="left" w:pos="794"/>
      </w:tabs>
      <w:spacing w:line="180" w:lineRule="exact"/>
      <w:ind w:left="794" w:hanging="794"/>
    </w:pPr>
    <w:rPr>
      <w:sz w:val="16"/>
    </w:rPr>
  </w:style>
  <w:style w:type="paragraph" w:customStyle="1" w:styleId="LG-para11">
    <w:name w:val="LG-para1.1"/>
    <w:basedOn w:val="Normal"/>
    <w:pPr>
      <w:tabs>
        <w:tab w:val="left" w:pos="397"/>
      </w:tabs>
      <w:spacing w:line="180" w:lineRule="exact"/>
      <w:ind w:left="397" w:hanging="397"/>
    </w:pPr>
    <w:rPr>
      <w:sz w:val="16"/>
    </w:rPr>
  </w:style>
  <w:style w:type="paragraph" w:customStyle="1" w:styleId="LG-111u11">
    <w:name w:val="LG-1.1.1u1.1"/>
    <w:basedOn w:val="Normal"/>
    <w:pPr>
      <w:tabs>
        <w:tab w:val="left" w:pos="397"/>
        <w:tab w:val="left" w:pos="964"/>
      </w:tabs>
      <w:spacing w:line="180" w:lineRule="exact"/>
      <w:ind w:left="964" w:hanging="964"/>
    </w:pPr>
    <w:rPr>
      <w:sz w:val="16"/>
    </w:rPr>
  </w:style>
  <w:style w:type="paragraph" w:customStyle="1" w:styleId="LG-1111u11-111">
    <w:name w:val="LG-1.1.1.1u1.1-1.1.1"/>
    <w:basedOn w:val="Normal"/>
    <w:pPr>
      <w:tabs>
        <w:tab w:val="left" w:pos="964"/>
        <w:tab w:val="left" w:pos="1644"/>
      </w:tabs>
      <w:spacing w:line="180" w:lineRule="exact"/>
      <w:ind w:left="1644" w:hanging="1644"/>
    </w:pPr>
    <w:rPr>
      <w:sz w:val="16"/>
    </w:rPr>
  </w:style>
  <w:style w:type="paragraph" w:customStyle="1" w:styleId="LGa">
    <w:name w:val="LG(a)"/>
    <w:basedOn w:val="LG-a"/>
    <w:pPr>
      <w:tabs>
        <w:tab w:val="clear" w:pos="907"/>
        <w:tab w:val="clear" w:pos="1304"/>
        <w:tab w:val="left" w:pos="340"/>
      </w:tabs>
      <w:ind w:left="340" w:hanging="340"/>
    </w:pPr>
  </w:style>
  <w:style w:type="paragraph" w:customStyle="1" w:styleId="JSE-Tabletext">
    <w:name w:val="JSE-Tabletext"/>
    <w:basedOn w:val="Normal"/>
    <w:pPr>
      <w:spacing w:before="40" w:line="180" w:lineRule="exact"/>
      <w:ind w:left="113" w:right="113"/>
      <w:jc w:val="left"/>
    </w:pPr>
    <w:rPr>
      <w:sz w:val="16"/>
    </w:rPr>
  </w:style>
  <w:style w:type="paragraph" w:customStyle="1" w:styleId="parai-aa-00">
    <w:name w:val="para(i)-(aa)-00"/>
    <w:basedOn w:val="Normal"/>
    <w:pPr>
      <w:tabs>
        <w:tab w:val="right" w:pos="1191"/>
        <w:tab w:val="left" w:pos="1304"/>
      </w:tabs>
      <w:ind w:left="1304" w:hanging="1304"/>
    </w:pPr>
  </w:style>
  <w:style w:type="paragraph" w:customStyle="1" w:styleId="LG-a-">
    <w:name w:val="LG-a-"/>
    <w:basedOn w:val="Normal"/>
    <w:pPr>
      <w:tabs>
        <w:tab w:val="left" w:pos="907"/>
        <w:tab w:val="left" w:pos="1304"/>
      </w:tabs>
      <w:spacing w:line="180" w:lineRule="exact"/>
      <w:ind w:left="1304" w:hanging="1304"/>
    </w:pPr>
    <w:rPr>
      <w:sz w:val="16"/>
    </w:rPr>
  </w:style>
  <w:style w:type="paragraph" w:customStyle="1" w:styleId="LG-i-a0">
    <w:name w:val="LG-i-(a)"/>
    <w:basedOn w:val="Normal"/>
    <w:pPr>
      <w:tabs>
        <w:tab w:val="right" w:pos="1588"/>
        <w:tab w:val="left" w:pos="1701"/>
      </w:tabs>
      <w:spacing w:line="180" w:lineRule="exact"/>
      <w:ind w:left="1701" w:hanging="1701"/>
    </w:pPr>
    <w:rPr>
      <w:sz w:val="16"/>
    </w:rPr>
  </w:style>
  <w:style w:type="paragraph" w:customStyle="1" w:styleId="LG-definition">
    <w:name w:val="LG-definition"/>
    <w:basedOn w:val="Normal"/>
    <w:pPr>
      <w:tabs>
        <w:tab w:val="left" w:pos="2977"/>
      </w:tabs>
      <w:spacing w:before="120" w:line="180" w:lineRule="exact"/>
      <w:ind w:left="198" w:firstLine="198"/>
    </w:pPr>
    <w:rPr>
      <w:sz w:val="16"/>
    </w:rPr>
  </w:style>
  <w:style w:type="paragraph" w:customStyle="1" w:styleId="LG-para2">
    <w:name w:val="LG-para2"/>
    <w:basedOn w:val="Normal"/>
    <w:pPr>
      <w:spacing w:line="180" w:lineRule="exact"/>
      <w:ind w:firstLine="357"/>
    </w:pPr>
    <w:rPr>
      <w:sz w:val="16"/>
    </w:rPr>
  </w:style>
  <w:style w:type="paragraph" w:customStyle="1" w:styleId="RegContents">
    <w:name w:val="RegContents"/>
    <w:basedOn w:val="Normal"/>
    <w:pPr>
      <w:spacing w:line="180" w:lineRule="exact"/>
      <w:jc w:val="center"/>
    </w:pPr>
    <w:rPr>
      <w:sz w:val="16"/>
    </w:rPr>
  </w:style>
  <w:style w:type="paragraph" w:customStyle="1" w:styleId="FRG-LevelTwo">
    <w:name w:val="FRG-LevelTwo"/>
    <w:basedOn w:val="Normal"/>
    <w:pPr>
      <w:spacing w:before="240" w:line="180" w:lineRule="exact"/>
      <w:jc w:val="left"/>
    </w:pPr>
    <w:rPr>
      <w:b/>
      <w:sz w:val="16"/>
    </w:rPr>
  </w:style>
  <w:style w:type="paragraph" w:customStyle="1" w:styleId="LG-arrangesect">
    <w:name w:val="LG-arrangesect"/>
    <w:basedOn w:val="Normal"/>
    <w:pPr>
      <w:tabs>
        <w:tab w:val="right" w:pos="680"/>
        <w:tab w:val="left" w:pos="907"/>
      </w:tabs>
      <w:spacing w:before="0" w:line="180" w:lineRule="exact"/>
      <w:jc w:val="left"/>
    </w:pPr>
    <w:rPr>
      <w:sz w:val="16"/>
    </w:rPr>
  </w:style>
  <w:style w:type="paragraph" w:customStyle="1" w:styleId="LG-boldhead">
    <w:name w:val="LG-boldhead"/>
    <w:basedOn w:val="Normal"/>
    <w:pPr>
      <w:spacing w:before="360" w:line="180" w:lineRule="exact"/>
      <w:jc w:val="center"/>
    </w:pPr>
    <w:rPr>
      <w:b/>
      <w:sz w:val="16"/>
    </w:rPr>
  </w:style>
  <w:style w:type="paragraph" w:customStyle="1" w:styleId="LG-chaphead">
    <w:name w:val="LG-chaphead"/>
    <w:basedOn w:val="Normal"/>
    <w:pPr>
      <w:keepNext/>
      <w:keepLines/>
      <w:spacing w:before="240" w:after="60" w:line="180" w:lineRule="exact"/>
      <w:jc w:val="center"/>
    </w:pPr>
    <w:rPr>
      <w:sz w:val="16"/>
    </w:rPr>
  </w:style>
  <w:style w:type="paragraph" w:customStyle="1" w:styleId="LG-para3">
    <w:name w:val="LG-para3"/>
    <w:basedOn w:val="Normal"/>
    <w:pPr>
      <w:spacing w:line="180" w:lineRule="exact"/>
      <w:ind w:firstLine="601"/>
    </w:pPr>
    <w:rPr>
      <w:sz w:val="16"/>
    </w:rPr>
  </w:style>
  <w:style w:type="paragraph" w:customStyle="1" w:styleId="LG-aa-ai">
    <w:name w:val="LG-aa-(a)(i)"/>
    <w:basedOn w:val="Normal"/>
    <w:pPr>
      <w:tabs>
        <w:tab w:val="left" w:pos="1758"/>
        <w:tab w:val="left" w:pos="2155"/>
      </w:tabs>
      <w:spacing w:line="180" w:lineRule="exact"/>
      <w:ind w:left="2155" w:hanging="2155"/>
    </w:pPr>
    <w:rPr>
      <w:sz w:val="16"/>
    </w:rPr>
  </w:style>
  <w:style w:type="paragraph" w:customStyle="1" w:styleId="LG-linksection">
    <w:name w:val="LG-linksection"/>
    <w:basedOn w:val="Normal"/>
    <w:pPr>
      <w:spacing w:before="0" w:line="180" w:lineRule="exact"/>
      <w:jc w:val="left"/>
    </w:pPr>
    <w:rPr>
      <w:sz w:val="16"/>
    </w:rPr>
  </w:style>
  <w:style w:type="paragraph" w:customStyle="1" w:styleId="reg-section">
    <w:name w:val="reg-section"/>
    <w:basedOn w:val="LG-section"/>
    <w:pPr>
      <w:spacing w:before="120"/>
      <w:ind w:left="0" w:firstLine="397"/>
    </w:pPr>
  </w:style>
  <w:style w:type="paragraph" w:customStyle="1" w:styleId="LG-annotation">
    <w:name w:val="LG-annotation"/>
    <w:basedOn w:val="Normal"/>
    <w:pPr>
      <w:spacing w:before="40" w:line="160" w:lineRule="exact"/>
      <w:ind w:left="567" w:right="567"/>
      <w:jc w:val="center"/>
    </w:pPr>
    <w:rPr>
      <w:sz w:val="14"/>
      <w:lang w:val="en-ZA"/>
    </w:rPr>
  </w:style>
  <w:style w:type="paragraph" w:customStyle="1" w:styleId="LG-italichead">
    <w:name w:val="LG-italichead"/>
    <w:basedOn w:val="Normal"/>
    <w:pPr>
      <w:keepNext/>
      <w:keepLines/>
      <w:spacing w:line="180" w:lineRule="exact"/>
      <w:jc w:val="center"/>
    </w:pPr>
    <w:rPr>
      <w:i/>
      <w:sz w:val="16"/>
    </w:rPr>
  </w:style>
  <w:style w:type="paragraph" w:customStyle="1" w:styleId="LG-tabletext">
    <w:name w:val="LG-tabletext"/>
    <w:basedOn w:val="Normal"/>
    <w:pPr>
      <w:spacing w:before="0" w:line="180" w:lineRule="exact"/>
      <w:jc w:val="left"/>
    </w:pPr>
    <w:rPr>
      <w:sz w:val="16"/>
    </w:rPr>
  </w:style>
  <w:style w:type="paragraph" w:customStyle="1" w:styleId="LG-annotation1">
    <w:name w:val="LG-annotation1"/>
    <w:basedOn w:val="Normal"/>
    <w:pPr>
      <w:spacing w:before="40" w:line="160" w:lineRule="exact"/>
      <w:jc w:val="center"/>
    </w:pPr>
    <w:rPr>
      <w:sz w:val="14"/>
    </w:rPr>
  </w:style>
  <w:style w:type="paragraph" w:customStyle="1" w:styleId="NormalText">
    <w:name w:val="Normal Text"/>
    <w:basedOn w:val="Normal"/>
    <w:pPr>
      <w:spacing w:line="180" w:lineRule="exact"/>
    </w:pPr>
    <w:rPr>
      <w:sz w:val="16"/>
    </w:rPr>
  </w:style>
  <w:style w:type="paragraph" w:customStyle="1" w:styleId="paraa-para1">
    <w:name w:val="para(a)-para(1)"/>
    <w:basedOn w:val="parafullout"/>
    <w:pPr>
      <w:tabs>
        <w:tab w:val="left" w:pos="284"/>
        <w:tab w:val="left" w:pos="624"/>
      </w:tabs>
      <w:spacing w:before="60"/>
      <w:ind w:left="624" w:hanging="624"/>
    </w:pPr>
  </w:style>
  <w:style w:type="paragraph" w:customStyle="1" w:styleId="gbltabletext">
    <w:name w:val="gbl_tabletext"/>
    <w:basedOn w:val="Normal"/>
    <w:pPr>
      <w:spacing w:before="0"/>
      <w:ind w:left="57" w:right="57"/>
      <w:jc w:val="left"/>
    </w:pPr>
    <w:rPr>
      <w:rFonts w:ascii="Helvetica" w:hAnsi="Helvetica"/>
      <w:lang w:val="en-ZA"/>
    </w:rPr>
  </w:style>
  <w:style w:type="paragraph" w:customStyle="1" w:styleId="para111">
    <w:name w:val="para1.1.1"/>
    <w:basedOn w:val="parafullout"/>
    <w:pPr>
      <w:tabs>
        <w:tab w:val="left" w:pos="680"/>
        <w:tab w:val="left" w:pos="1247"/>
      </w:tabs>
      <w:spacing w:before="60"/>
      <w:ind w:left="1247" w:hanging="1247"/>
    </w:pPr>
  </w:style>
  <w:style w:type="paragraph" w:customStyle="1" w:styleId="para1">
    <w:name w:val="para1."/>
    <w:basedOn w:val="parafullout"/>
    <w:pPr>
      <w:tabs>
        <w:tab w:val="left" w:pos="284"/>
      </w:tabs>
      <w:ind w:left="284" w:hanging="284"/>
    </w:pPr>
  </w:style>
  <w:style w:type="paragraph" w:customStyle="1" w:styleId="LG-definitiontext">
    <w:name w:val="LG-definitiontext"/>
    <w:basedOn w:val="Normal"/>
    <w:pPr>
      <w:spacing w:line="180" w:lineRule="exact"/>
      <w:ind w:left="198"/>
    </w:pPr>
    <w:rPr>
      <w:sz w:val="16"/>
    </w:rPr>
  </w:style>
  <w:style w:type="paragraph" w:customStyle="1" w:styleId="LG-i-">
    <w:name w:val="LG-i-"/>
    <w:basedOn w:val="Normal"/>
    <w:pPr>
      <w:tabs>
        <w:tab w:val="right" w:pos="1191"/>
        <w:tab w:val="left" w:pos="1361"/>
      </w:tabs>
      <w:spacing w:line="180" w:lineRule="exact"/>
      <w:ind w:left="1361" w:hanging="1361"/>
    </w:pPr>
    <w:rPr>
      <w:sz w:val="16"/>
    </w:rPr>
  </w:style>
  <w:style w:type="paragraph" w:customStyle="1" w:styleId="chaphead">
    <w:name w:val="chaphead"/>
    <w:basedOn w:val="Normal"/>
    <w:rsid w:val="00D44875"/>
    <w:pPr>
      <w:spacing w:before="0"/>
      <w:jc w:val="center"/>
    </w:pPr>
    <w:rPr>
      <w:b/>
      <w:sz w:val="26"/>
    </w:rPr>
  </w:style>
  <w:style w:type="paragraph" w:customStyle="1" w:styleId="contsection">
    <w:name w:val="contsection"/>
    <w:basedOn w:val="Normal"/>
    <w:rsid w:val="00D44875"/>
    <w:pPr>
      <w:tabs>
        <w:tab w:val="left" w:pos="1418"/>
      </w:tabs>
      <w:ind w:left="1418" w:hanging="1418"/>
      <w:jc w:val="left"/>
    </w:pPr>
  </w:style>
  <w:style w:type="paragraph" w:customStyle="1" w:styleId="a-00000">
    <w:name w:val="(a)-0.000"/>
    <w:basedOn w:val="Normal"/>
    <w:rsid w:val="00D44875"/>
    <w:pPr>
      <w:tabs>
        <w:tab w:val="left" w:pos="794"/>
        <w:tab w:val="left" w:pos="1304"/>
      </w:tabs>
      <w:ind w:left="1304" w:hanging="1304"/>
    </w:pPr>
  </w:style>
  <w:style w:type="paragraph" w:customStyle="1" w:styleId="i-0000a0">
    <w:name w:val="(i)-0.000(a)"/>
    <w:basedOn w:val="Normal"/>
    <w:rsid w:val="00D44875"/>
    <w:pPr>
      <w:tabs>
        <w:tab w:val="right" w:pos="1758"/>
        <w:tab w:val="left" w:pos="1871"/>
      </w:tabs>
      <w:ind w:left="1871" w:hanging="1871"/>
    </w:pPr>
  </w:style>
  <w:style w:type="paragraph" w:customStyle="1" w:styleId="def-1">
    <w:name w:val="def-1"/>
    <w:basedOn w:val="Normal"/>
    <w:rsid w:val="00D44875"/>
    <w:pPr>
      <w:tabs>
        <w:tab w:val="left" w:pos="3402"/>
        <w:tab w:val="left" w:pos="3686"/>
      </w:tabs>
      <w:spacing w:before="0"/>
      <w:ind w:left="3686" w:hanging="3686"/>
      <w:jc w:val="left"/>
    </w:pPr>
    <w:rPr>
      <w:sz w:val="16"/>
    </w:rPr>
  </w:style>
  <w:style w:type="paragraph" w:customStyle="1" w:styleId="def-a1">
    <w:name w:val="def-(a)(1)"/>
    <w:basedOn w:val="Normal"/>
    <w:rsid w:val="00D44875"/>
    <w:pPr>
      <w:tabs>
        <w:tab w:val="left" w:pos="3686"/>
        <w:tab w:val="left" w:pos="4026"/>
      </w:tabs>
      <w:spacing w:before="0"/>
      <w:ind w:left="4026" w:hanging="4026"/>
      <w:jc w:val="left"/>
    </w:pPr>
    <w:rPr>
      <w:sz w:val="16"/>
    </w:rPr>
  </w:style>
  <w:style w:type="paragraph" w:customStyle="1" w:styleId="boldhead">
    <w:name w:val="boldhead"/>
    <w:basedOn w:val="Normal"/>
    <w:rsid w:val="00D44875"/>
    <w:pPr>
      <w:tabs>
        <w:tab w:val="left" w:pos="567"/>
      </w:tabs>
      <w:spacing w:before="240"/>
      <w:ind w:left="567" w:hanging="567"/>
    </w:pPr>
    <w:rPr>
      <w:b/>
    </w:rPr>
  </w:style>
  <w:style w:type="paragraph" w:customStyle="1" w:styleId="level1">
    <w:name w:val="level1"/>
    <w:basedOn w:val="Normal"/>
    <w:rsid w:val="00D44875"/>
    <w:pPr>
      <w:tabs>
        <w:tab w:val="right" w:leader="dot" w:pos="7938"/>
      </w:tabs>
      <w:spacing w:before="0"/>
      <w:ind w:left="851" w:hanging="567"/>
      <w:jc w:val="left"/>
    </w:pPr>
    <w:rPr>
      <w:sz w:val="16"/>
    </w:rPr>
  </w:style>
  <w:style w:type="paragraph" w:customStyle="1" w:styleId="level0">
    <w:name w:val="level0"/>
    <w:basedOn w:val="Normal"/>
    <w:rsid w:val="00D44875"/>
    <w:pPr>
      <w:tabs>
        <w:tab w:val="right" w:leader="dot" w:pos="7938"/>
      </w:tabs>
    </w:pPr>
    <w:rPr>
      <w:b/>
      <w:sz w:val="16"/>
    </w:rPr>
  </w:style>
  <w:style w:type="paragraph" w:customStyle="1" w:styleId="AlphaHead">
    <w:name w:val="AlphaHead"/>
    <w:basedOn w:val="Normal"/>
    <w:rsid w:val="00D44875"/>
    <w:pPr>
      <w:spacing w:before="360"/>
      <w:jc w:val="center"/>
    </w:pPr>
    <w:rPr>
      <w:b/>
      <w:sz w:val="16"/>
    </w:rPr>
  </w:style>
  <w:style w:type="paragraph" w:customStyle="1" w:styleId="NormalText0">
    <w:name w:val="NormalText"/>
    <w:basedOn w:val="Normal"/>
    <w:rsid w:val="00D44875"/>
  </w:style>
  <w:style w:type="paragraph" w:customStyle="1" w:styleId="aa-00ai">
    <w:name w:val="(aa)-00(a)(i)"/>
    <w:basedOn w:val="Normal"/>
    <w:rsid w:val="00D44875"/>
    <w:pPr>
      <w:tabs>
        <w:tab w:val="left" w:pos="1928"/>
        <w:tab w:val="left" w:pos="2495"/>
      </w:tabs>
      <w:ind w:left="2495" w:hanging="2495"/>
    </w:pPr>
  </w:style>
  <w:style w:type="paragraph" w:customStyle="1" w:styleId="i-000">
    <w:name w:val="(i)-0.00"/>
    <w:basedOn w:val="Normal"/>
    <w:rsid w:val="00D44875"/>
    <w:pPr>
      <w:tabs>
        <w:tab w:val="right" w:pos="1191"/>
        <w:tab w:val="left" w:pos="1361"/>
      </w:tabs>
      <w:ind w:left="1361" w:hanging="1361"/>
    </w:pPr>
  </w:style>
  <w:style w:type="paragraph" w:customStyle="1" w:styleId="level2">
    <w:name w:val="level2"/>
    <w:basedOn w:val="Normal"/>
    <w:rsid w:val="00D44875"/>
    <w:pPr>
      <w:tabs>
        <w:tab w:val="right" w:leader="dot" w:pos="7938"/>
      </w:tabs>
      <w:spacing w:before="0"/>
      <w:ind w:left="1134" w:hanging="567"/>
      <w:jc w:val="left"/>
    </w:pPr>
    <w:rPr>
      <w:sz w:val="16"/>
    </w:rPr>
  </w:style>
  <w:style w:type="paragraph" w:customStyle="1" w:styleId="level3">
    <w:name w:val="level3"/>
    <w:basedOn w:val="Normal"/>
    <w:rsid w:val="00D44875"/>
    <w:pPr>
      <w:tabs>
        <w:tab w:val="right" w:leader="dot" w:pos="7938"/>
      </w:tabs>
      <w:spacing w:before="0"/>
      <w:ind w:left="1418" w:hanging="567"/>
      <w:jc w:val="left"/>
    </w:pPr>
    <w:rPr>
      <w:sz w:val="16"/>
    </w:rPr>
  </w:style>
  <w:style w:type="paragraph" w:customStyle="1" w:styleId="level4">
    <w:name w:val="level4"/>
    <w:basedOn w:val="Normal"/>
    <w:rsid w:val="00D44875"/>
    <w:pPr>
      <w:tabs>
        <w:tab w:val="right" w:leader="dot" w:pos="7938"/>
      </w:tabs>
      <w:spacing w:before="0"/>
      <w:ind w:left="1701" w:hanging="567"/>
    </w:pPr>
    <w:rPr>
      <w:sz w:val="16"/>
    </w:rPr>
  </w:style>
  <w:style w:type="paragraph" w:customStyle="1" w:styleId="0000-00001">
    <w:name w:val="00.0.0-00.00"/>
    <w:basedOn w:val="Normal"/>
    <w:rsid w:val="00D44875"/>
    <w:pPr>
      <w:tabs>
        <w:tab w:val="left" w:pos="794"/>
        <w:tab w:val="left" w:pos="1588"/>
      </w:tabs>
      <w:ind w:left="1588" w:hanging="1588"/>
    </w:pPr>
  </w:style>
  <w:style w:type="paragraph" w:customStyle="1" w:styleId="1-indent">
    <w:name w:val="1-indent"/>
    <w:basedOn w:val="Normal"/>
    <w:rsid w:val="00D44875"/>
    <w:pPr>
      <w:tabs>
        <w:tab w:val="left" w:pos="907"/>
        <w:tab w:val="left" w:pos="1162"/>
      </w:tabs>
      <w:ind w:left="1162" w:hanging="1162"/>
    </w:pPr>
  </w:style>
  <w:style w:type="paragraph" w:customStyle="1" w:styleId="000ai1aa-sl">
    <w:name w:val="0.00(a)(i)(1)(aa)-sl"/>
    <w:basedOn w:val="Normal"/>
    <w:pPr>
      <w:tabs>
        <w:tab w:val="left" w:pos="794"/>
        <w:tab w:val="right" w:pos="1758"/>
        <w:tab w:val="left" w:pos="1928"/>
        <w:tab w:val="left" w:pos="2495"/>
        <w:tab w:val="left" w:pos="3062"/>
      </w:tabs>
    </w:pPr>
  </w:style>
  <w:style w:type="character" w:styleId="Hyperlink">
    <w:name w:val="Hyperlink"/>
    <w:semiHidden/>
    <w:rPr>
      <w:color w:val="0000FF"/>
      <w:u w:val="single"/>
    </w:rPr>
  </w:style>
  <w:style w:type="paragraph" w:customStyle="1" w:styleId="Footnote">
    <w:name w:val="Footnote"/>
    <w:rsid w:val="00D44875"/>
    <w:pPr>
      <w:spacing w:before="72" w:after="72"/>
      <w:ind w:firstLine="720"/>
      <w:jc w:val="both"/>
    </w:pPr>
    <w:rPr>
      <w:rFonts w:ascii="Verdana" w:hAnsi="Verdana"/>
      <w:color w:val="000000"/>
      <w:sz w:val="16"/>
      <w:lang w:val="en-GB" w:eastAsia="en-US"/>
    </w:rPr>
  </w:style>
  <w:style w:type="paragraph" w:customStyle="1" w:styleId="tabletext-8pt">
    <w:name w:val="tabletext-8pt"/>
    <w:basedOn w:val="Normal"/>
    <w:rsid w:val="00D44875"/>
    <w:pPr>
      <w:spacing w:before="0"/>
    </w:pPr>
    <w:rPr>
      <w:sz w:val="16"/>
    </w:rPr>
  </w:style>
  <w:style w:type="paragraph" w:styleId="CommentText">
    <w:name w:val="annotation text"/>
    <w:basedOn w:val="Normal"/>
    <w:link w:val="CommentTextChar1"/>
    <w:unhideWhenUsed/>
    <w:pPr>
      <w:widowControl/>
      <w:spacing w:before="0" w:after="200"/>
      <w:jc w:val="left"/>
    </w:pPr>
    <w:rPr>
      <w:rFonts w:ascii="Calibri" w:eastAsia="Calibri" w:hAnsi="Calibri"/>
      <w:sz w:val="20"/>
      <w:lang w:val="x-none"/>
    </w:rPr>
  </w:style>
  <w:style w:type="character" w:customStyle="1" w:styleId="CommentTextChar">
    <w:name w:val="Comment Text Char"/>
    <w:uiPriority w:val="99"/>
    <w:rPr>
      <w:rFonts w:ascii="Calibri" w:eastAsia="Calibri" w:hAnsi="Calibri"/>
      <w:lang w:eastAsia="en-US"/>
    </w:rPr>
  </w:style>
  <w:style w:type="paragraph" w:styleId="Revision">
    <w:name w:val="Revision"/>
    <w:hidden/>
    <w:uiPriority w:val="99"/>
    <w:semiHidden/>
    <w:rsid w:val="0012504A"/>
    <w:rPr>
      <w:rFonts w:ascii="Verdana" w:hAnsi="Verdana"/>
      <w:sz w:val="18"/>
      <w:lang w:val="en-GB" w:eastAsia="en-US"/>
    </w:rPr>
  </w:style>
  <w:style w:type="character" w:customStyle="1" w:styleId="a-000Char">
    <w:name w:val="(a)-0.00 Char"/>
    <w:link w:val="a-000"/>
    <w:rsid w:val="00382003"/>
    <w:rPr>
      <w:rFonts w:ascii="Verdana" w:hAnsi="Verdana"/>
      <w:sz w:val="18"/>
      <w:lang w:val="en-GB" w:eastAsia="en-US"/>
    </w:rPr>
  </w:style>
  <w:style w:type="character" w:styleId="CommentReference">
    <w:name w:val="annotation reference"/>
    <w:uiPriority w:val="99"/>
    <w:semiHidden/>
    <w:unhideWhenUsed/>
    <w:rsid w:val="00401C6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1C69"/>
    <w:pPr>
      <w:widowControl w:val="0"/>
      <w:spacing w:before="180" w:after="0"/>
      <w:jc w:val="both"/>
    </w:pPr>
    <w:rPr>
      <w:rFonts w:ascii="Verdana" w:eastAsia="Times New Roman" w:hAnsi="Verdana"/>
      <w:b/>
      <w:bCs/>
      <w:lang w:val="en-GB"/>
    </w:rPr>
  </w:style>
  <w:style w:type="character" w:customStyle="1" w:styleId="CommentTextChar1">
    <w:name w:val="Comment Text Char1"/>
    <w:link w:val="CommentText"/>
    <w:rsid w:val="00401C69"/>
    <w:rPr>
      <w:rFonts w:ascii="Calibri" w:eastAsia="Calibri" w:hAnsi="Calibri"/>
      <w:lang w:val="x-none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401C69"/>
    <w:rPr>
      <w:rFonts w:ascii="Verdana" w:eastAsia="Calibri" w:hAnsi="Verdana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Templates\FOLJSEL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E9187-1ACA-431D-B27C-B8C1A2CEB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FOLJSELS</Template>
  <TotalTime>200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</vt:lpstr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</dc:title>
  <dc:subject/>
  <dc:creator>Salome Govender</dc:creator>
  <cp:keywords/>
  <cp:lastModifiedBy>Alwyn Fouchee</cp:lastModifiedBy>
  <cp:revision>211</cp:revision>
  <cp:lastPrinted>2007-08-30T13:14:00Z</cp:lastPrinted>
  <dcterms:created xsi:type="dcterms:W3CDTF">2024-07-15T09:03:00Z</dcterms:created>
  <dcterms:modified xsi:type="dcterms:W3CDTF">2024-08-12T13:38:00Z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e93fc94-2a04-4870-acee-9c0cd4b7d590_Enabled">
    <vt:lpwstr>true</vt:lpwstr>
  </property>
  <property fmtid="{D5CDD505-2E9C-101B-9397-08002B2CF9AE}" pid="3" name="MSIP_Label_ce93fc94-2a04-4870-acee-9c0cd4b7d590_SetDate">
    <vt:lpwstr>2024-07-15T09:04:21Z</vt:lpwstr>
  </property>
  <property fmtid="{D5CDD505-2E9C-101B-9397-08002B2CF9AE}" pid="4" name="MSIP_Label_ce93fc94-2a04-4870-acee-9c0cd4b7d590_Method">
    <vt:lpwstr>Standard</vt:lpwstr>
  </property>
  <property fmtid="{D5CDD505-2E9C-101B-9397-08002B2CF9AE}" pid="5" name="MSIP_Label_ce93fc94-2a04-4870-acee-9c0cd4b7d590_Name">
    <vt:lpwstr>Internal</vt:lpwstr>
  </property>
  <property fmtid="{D5CDD505-2E9C-101B-9397-08002B2CF9AE}" pid="6" name="MSIP_Label_ce93fc94-2a04-4870-acee-9c0cd4b7d590_SiteId">
    <vt:lpwstr>cffa6640-7572-4f05-9c64-cd88068c19d4</vt:lpwstr>
  </property>
  <property fmtid="{D5CDD505-2E9C-101B-9397-08002B2CF9AE}" pid="7" name="MSIP_Label_ce93fc94-2a04-4870-acee-9c0cd4b7d590_ActionId">
    <vt:lpwstr>5f1e6d15-382c-4b97-a5f1-65e0cfc0035b</vt:lpwstr>
  </property>
  <property fmtid="{D5CDD505-2E9C-101B-9397-08002B2CF9AE}" pid="8" name="MSIP_Label_ce93fc94-2a04-4870-acee-9c0cd4b7d590_ContentBits">
    <vt:lpwstr>0</vt:lpwstr>
  </property>
</Properties>
</file>